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F74" w:rsidRPr="00DE0F74" w:rsidRDefault="00DE0F74" w:rsidP="00DE0F74">
      <w:pPr>
        <w:ind w:firstLine="708"/>
        <w:jc w:val="both"/>
        <w:rPr>
          <w:sz w:val="20"/>
          <w:szCs w:val="20"/>
        </w:rPr>
      </w:pPr>
      <w:r w:rsidRPr="00DE0F74">
        <w:rPr>
          <w:sz w:val="20"/>
          <w:szCs w:val="20"/>
        </w:rPr>
        <w:t xml:space="preserve">Na osnovu člana 23. Zakona o prostornom planiranju i korištenju zemljišta na nivou Federacije Bosne i Hercegovine („Službene Novine Federacije BiH“, broj: 2/06), člana 28,31 i 32. Zakona o prostornom uređenju („Službene Novine SBK/KBS“, broj11/05)  i člana 68. Uredbe o jedinstvenoj metodologiji za izradu dokumenata prostornog uredjenja („Službene Novine Federacije BiH“ broj:  63/04) i člana 91. Statuta Općine Travnik („Službene Novine Općine Travnik“, broj: 11/05), Općinsko vijeće Općine Travnik na 3. redovnoj sjednici održanoj dana 10.02.2009. godine, </w:t>
      </w:r>
      <w:r w:rsidRPr="00DE0F74">
        <w:rPr>
          <w:b/>
          <w:sz w:val="20"/>
          <w:szCs w:val="20"/>
        </w:rPr>
        <w:t>d o n o s i</w:t>
      </w:r>
    </w:p>
    <w:p w:rsidR="00DE0F74" w:rsidRDefault="00DE0F74" w:rsidP="00DE0F74">
      <w:pPr>
        <w:rPr>
          <w:noProof w:val="0"/>
        </w:rPr>
      </w:pPr>
    </w:p>
    <w:p w:rsidR="00DE0F74" w:rsidRPr="00DE0F74" w:rsidRDefault="00DE0F74" w:rsidP="00DE0F74">
      <w:pPr>
        <w:jc w:val="center"/>
        <w:rPr>
          <w:b/>
          <w:sz w:val="28"/>
          <w:szCs w:val="28"/>
        </w:rPr>
      </w:pPr>
      <w:r w:rsidRPr="00DE0F74">
        <w:rPr>
          <w:b/>
          <w:sz w:val="28"/>
          <w:szCs w:val="28"/>
        </w:rPr>
        <w:t>O D L U K U</w:t>
      </w:r>
    </w:p>
    <w:p w:rsidR="00DE0F74" w:rsidRPr="00DE0F74" w:rsidRDefault="00DE0F74" w:rsidP="00DE0F74">
      <w:pPr>
        <w:jc w:val="center"/>
        <w:rPr>
          <w:b/>
          <w:noProof w:val="0"/>
          <w:sz w:val="24"/>
        </w:rPr>
      </w:pPr>
      <w:r w:rsidRPr="00DE0F74">
        <w:rPr>
          <w:b/>
          <w:noProof w:val="0"/>
          <w:sz w:val="24"/>
        </w:rPr>
        <w:t>o pristupanju izradi</w:t>
      </w:r>
      <w:r>
        <w:rPr>
          <w:b/>
          <w:noProof w:val="0"/>
          <w:sz w:val="24"/>
        </w:rPr>
        <w:t xml:space="preserve"> R</w:t>
      </w:r>
      <w:r w:rsidRPr="00DE0F74">
        <w:rPr>
          <w:b/>
          <w:noProof w:val="0"/>
          <w:sz w:val="24"/>
        </w:rPr>
        <w:t>egulacionog plana</w:t>
      </w:r>
      <w:r w:rsidRPr="00DE0F74">
        <w:rPr>
          <w:b/>
          <w:sz w:val="24"/>
        </w:rPr>
        <w:t xml:space="preserve"> radno- poslovne zone „</w:t>
      </w:r>
      <w:r>
        <w:rPr>
          <w:b/>
          <w:sz w:val="24"/>
        </w:rPr>
        <w:t>POLJE</w:t>
      </w:r>
      <w:r w:rsidRPr="00DE0F74">
        <w:rPr>
          <w:b/>
          <w:sz w:val="24"/>
        </w:rPr>
        <w:t>„</w:t>
      </w:r>
      <w:r>
        <w:rPr>
          <w:b/>
          <w:sz w:val="24"/>
        </w:rPr>
        <w:t xml:space="preserve"> T</w:t>
      </w:r>
      <w:r w:rsidRPr="00DE0F74">
        <w:rPr>
          <w:b/>
          <w:noProof w:val="0"/>
          <w:sz w:val="24"/>
        </w:rPr>
        <w:t>ravnik</w:t>
      </w:r>
    </w:p>
    <w:p w:rsidR="00DE0F74" w:rsidRDefault="00DE0F74" w:rsidP="00DE0F74">
      <w:pPr>
        <w:rPr>
          <w:b/>
          <w:noProof w:val="0"/>
        </w:rPr>
      </w:pPr>
    </w:p>
    <w:p w:rsidR="00DE0F74" w:rsidRPr="00DE0F74" w:rsidRDefault="00DE0F74" w:rsidP="00DE0F74">
      <w:pPr>
        <w:jc w:val="center"/>
        <w:rPr>
          <w:b/>
          <w:sz w:val="20"/>
          <w:szCs w:val="20"/>
        </w:rPr>
      </w:pPr>
      <w:r w:rsidRPr="00DE0F74">
        <w:rPr>
          <w:b/>
          <w:sz w:val="20"/>
          <w:szCs w:val="20"/>
        </w:rPr>
        <w:t>Član 1.</w:t>
      </w:r>
    </w:p>
    <w:p w:rsidR="00DE0F74" w:rsidRPr="00DE0F74" w:rsidRDefault="00DE0F74" w:rsidP="00DE0F74">
      <w:pPr>
        <w:jc w:val="center"/>
        <w:rPr>
          <w:b/>
          <w:sz w:val="20"/>
          <w:szCs w:val="20"/>
        </w:rPr>
      </w:pPr>
    </w:p>
    <w:p w:rsidR="00DE0F74" w:rsidRPr="00DE0F74" w:rsidRDefault="00DE0F74" w:rsidP="00DE0F74">
      <w:pPr>
        <w:ind w:firstLine="708"/>
        <w:jc w:val="both"/>
        <w:rPr>
          <w:sz w:val="20"/>
          <w:szCs w:val="20"/>
        </w:rPr>
      </w:pPr>
      <w:r w:rsidRPr="00DE0F74">
        <w:rPr>
          <w:sz w:val="20"/>
          <w:szCs w:val="20"/>
        </w:rPr>
        <w:t>Ovom Odlukom pristupa se izradi Regulacionog plana radno-poslovne zone „Polje„ površine cca. 76,0 ha.</w:t>
      </w:r>
    </w:p>
    <w:p w:rsidR="00DE0F74" w:rsidRPr="00DE0F74" w:rsidRDefault="00DE0F74" w:rsidP="00DE0F74">
      <w:pPr>
        <w:jc w:val="both"/>
        <w:rPr>
          <w:sz w:val="20"/>
          <w:szCs w:val="20"/>
        </w:rPr>
      </w:pPr>
    </w:p>
    <w:p w:rsidR="00DE0F74" w:rsidRPr="00DE0F74" w:rsidRDefault="00DE0F74" w:rsidP="00DE0F74">
      <w:pPr>
        <w:jc w:val="center"/>
        <w:rPr>
          <w:b/>
          <w:sz w:val="20"/>
          <w:szCs w:val="20"/>
        </w:rPr>
      </w:pPr>
      <w:r w:rsidRPr="00DE0F74">
        <w:rPr>
          <w:b/>
          <w:sz w:val="20"/>
          <w:szCs w:val="20"/>
        </w:rPr>
        <w:t>Član 2.</w:t>
      </w:r>
    </w:p>
    <w:p w:rsidR="00DE0F74" w:rsidRPr="00DE0F74" w:rsidRDefault="00DE0F74" w:rsidP="00DE0F74">
      <w:pPr>
        <w:jc w:val="both"/>
        <w:rPr>
          <w:sz w:val="20"/>
          <w:szCs w:val="20"/>
        </w:rPr>
      </w:pPr>
    </w:p>
    <w:p w:rsidR="00DE0F74" w:rsidRPr="00DE0F74" w:rsidRDefault="00DE0F74" w:rsidP="00DE0F74">
      <w:pPr>
        <w:ind w:firstLine="708"/>
        <w:jc w:val="both"/>
        <w:rPr>
          <w:sz w:val="20"/>
          <w:szCs w:val="20"/>
        </w:rPr>
      </w:pPr>
      <w:r w:rsidRPr="00DE0F74">
        <w:rPr>
          <w:sz w:val="20"/>
          <w:szCs w:val="20"/>
        </w:rPr>
        <w:t>Granice obuhvata su utvr</w:t>
      </w:r>
      <w:r>
        <w:rPr>
          <w:sz w:val="20"/>
          <w:szCs w:val="20"/>
        </w:rPr>
        <w:t>đ</w:t>
      </w:r>
      <w:r w:rsidRPr="00DE0F74">
        <w:rPr>
          <w:sz w:val="20"/>
          <w:szCs w:val="20"/>
        </w:rPr>
        <w:t>ene Odlukom o usvajanju provedbene prostorno planske dokumentacije za područje „</w:t>
      </w:r>
      <w:r w:rsidRPr="00DE0F74">
        <w:rPr>
          <w:noProof w:val="0"/>
          <w:sz w:val="20"/>
          <w:szCs w:val="20"/>
        </w:rPr>
        <w:t>„TRAVN</w:t>
      </w:r>
      <w:r>
        <w:rPr>
          <w:noProof w:val="0"/>
          <w:sz w:val="20"/>
          <w:szCs w:val="20"/>
        </w:rPr>
        <w:t>IK – DOLAC n/L – SLIMENA – PUTIĆ</w:t>
      </w:r>
      <w:r w:rsidRPr="00DE0F74">
        <w:rPr>
          <w:noProof w:val="0"/>
          <w:sz w:val="20"/>
          <w:szCs w:val="20"/>
        </w:rPr>
        <w:t xml:space="preserve">EVO  – POLJE“ definisano </w:t>
      </w:r>
      <w:r w:rsidRPr="00DE0F74">
        <w:rPr>
          <w:sz w:val="20"/>
          <w:szCs w:val="20"/>
        </w:rPr>
        <w:t xml:space="preserve">Prostornim planom Općine Travnik 2003-2020 </w:t>
      </w:r>
      <w:r w:rsidRPr="00DE0F74">
        <w:rPr>
          <w:sz w:val="20"/>
          <w:szCs w:val="20"/>
          <w:lang w:val="de-DE"/>
        </w:rPr>
        <w:t xml:space="preserve">(„Službene Novine općine Travnik“ br. 8/07) </w:t>
      </w:r>
      <w:r w:rsidRPr="00DE0F74">
        <w:rPr>
          <w:sz w:val="20"/>
          <w:szCs w:val="20"/>
        </w:rPr>
        <w:t>kao dio Radno – industrijske (mješovite) zone  „Lokalitet grada i prigradskih naselja“, zemljište omedjeno naseljima : Dolac</w:t>
      </w:r>
      <w:r>
        <w:rPr>
          <w:sz w:val="20"/>
          <w:szCs w:val="20"/>
        </w:rPr>
        <w:t xml:space="preserve"> n/L – (Kanare, uključujući Auto</w:t>
      </w:r>
      <w:r w:rsidRPr="00DE0F74">
        <w:rPr>
          <w:sz w:val="20"/>
          <w:szCs w:val="20"/>
        </w:rPr>
        <w:t xml:space="preserve"> moto i mala obrtnička preduzeća) – Guvna – Gradac –Gornji Dolac – grahovik – Slimena-Polje S. Gavrančića  - Nević Polje (granica ove radno-industrijske zone ide na istočnom dijelu na liniji Kuprešakovića kuće do rijeke Lašve, zatim desno od rijeke Lašve na liniji 15,00 metara od Volića kuće do rijeke Lašve , zatim uzvodno rijekom Lašvom do spoja sa istočnom granicom do Ku</w:t>
      </w:r>
      <w:r>
        <w:rPr>
          <w:sz w:val="20"/>
          <w:szCs w:val="20"/>
        </w:rPr>
        <w:t>prešakovih kuća) – naselje Putićevo (saobrać</w:t>
      </w:r>
      <w:r w:rsidRPr="00DE0F74">
        <w:rPr>
          <w:sz w:val="20"/>
          <w:szCs w:val="20"/>
        </w:rPr>
        <w:t xml:space="preserve">ajnica od Nove okuke do Kanara, uključujući Minelovo skladište i Carinsku zonu na Docu). </w:t>
      </w:r>
    </w:p>
    <w:p w:rsidR="00DE0F74" w:rsidRPr="00DE0F74" w:rsidRDefault="00DE0F74" w:rsidP="00DE0F74">
      <w:pPr>
        <w:jc w:val="both"/>
        <w:rPr>
          <w:sz w:val="20"/>
          <w:szCs w:val="20"/>
        </w:rPr>
      </w:pPr>
    </w:p>
    <w:p w:rsidR="00DE0F74" w:rsidRPr="00DE0F74" w:rsidRDefault="00DE0F74" w:rsidP="00DE0F74">
      <w:pPr>
        <w:ind w:firstLine="708"/>
        <w:jc w:val="both"/>
        <w:rPr>
          <w:i/>
          <w:sz w:val="20"/>
          <w:szCs w:val="20"/>
        </w:rPr>
      </w:pPr>
      <w:r w:rsidRPr="00DE0F74">
        <w:rPr>
          <w:i/>
          <w:sz w:val="20"/>
          <w:szCs w:val="20"/>
        </w:rPr>
        <w:t xml:space="preserve">Granice Plana :  </w:t>
      </w:r>
    </w:p>
    <w:p w:rsidR="00DE0F74" w:rsidRPr="00DE0F74" w:rsidRDefault="00DE0F74" w:rsidP="00DE0F74">
      <w:pPr>
        <w:pStyle w:val="BodyTextIndent"/>
        <w:ind w:left="0"/>
        <w:jc w:val="both"/>
        <w:rPr>
          <w:rFonts w:ascii="Arial" w:hAnsi="Arial" w:cs="Arial"/>
          <w:sz w:val="20"/>
        </w:rPr>
      </w:pPr>
      <w:r w:rsidRPr="00806FD5">
        <w:rPr>
          <w:sz w:val="20"/>
          <w:lang w:val="hr-HR"/>
        </w:rPr>
        <w:t xml:space="preserve">      </w:t>
      </w:r>
      <w:r w:rsidRPr="00DE0F74">
        <w:rPr>
          <w:rFonts w:ascii="Arial" w:hAnsi="Arial" w:cs="Arial"/>
          <w:sz w:val="20"/>
        </w:rPr>
        <w:t>Po</w:t>
      </w:r>
      <w:r w:rsidRPr="00806FD5">
        <w:rPr>
          <w:rFonts w:ascii="Arial" w:hAnsi="Arial" w:cs="Arial"/>
          <w:sz w:val="20"/>
          <w:lang w:val="hr-HR"/>
        </w:rPr>
        <w:t>č</w:t>
      </w:r>
      <w:r w:rsidRPr="00DE0F74">
        <w:rPr>
          <w:rFonts w:ascii="Arial" w:hAnsi="Arial" w:cs="Arial"/>
          <w:sz w:val="20"/>
        </w:rPr>
        <w:t>etna</w:t>
      </w:r>
      <w:r w:rsidRPr="00806FD5">
        <w:rPr>
          <w:rFonts w:ascii="Arial" w:hAnsi="Arial" w:cs="Arial"/>
          <w:sz w:val="20"/>
          <w:lang w:val="hr-HR"/>
        </w:rPr>
        <w:t xml:space="preserve"> </w:t>
      </w:r>
      <w:r w:rsidRPr="00DE0F74">
        <w:rPr>
          <w:rFonts w:ascii="Arial" w:hAnsi="Arial" w:cs="Arial"/>
          <w:sz w:val="20"/>
        </w:rPr>
        <w:t>ta</w:t>
      </w:r>
      <w:r w:rsidRPr="00806FD5">
        <w:rPr>
          <w:rFonts w:ascii="Arial" w:hAnsi="Arial" w:cs="Arial"/>
          <w:sz w:val="20"/>
          <w:lang w:val="hr-HR"/>
        </w:rPr>
        <w:t>č</w:t>
      </w:r>
      <w:r w:rsidRPr="00DE0F74">
        <w:rPr>
          <w:rFonts w:ascii="Arial" w:hAnsi="Arial" w:cs="Arial"/>
          <w:sz w:val="20"/>
        </w:rPr>
        <w:t>ka</w:t>
      </w:r>
      <w:r w:rsidRPr="00806FD5">
        <w:rPr>
          <w:rFonts w:ascii="Arial" w:hAnsi="Arial" w:cs="Arial"/>
          <w:sz w:val="20"/>
          <w:lang w:val="hr-HR"/>
        </w:rPr>
        <w:t xml:space="preserve"> </w:t>
      </w:r>
      <w:r w:rsidRPr="00DE0F74">
        <w:rPr>
          <w:rFonts w:ascii="Arial" w:hAnsi="Arial" w:cs="Arial"/>
          <w:sz w:val="20"/>
        </w:rPr>
        <w:t>granice</w:t>
      </w:r>
      <w:r w:rsidRPr="00806FD5">
        <w:rPr>
          <w:rFonts w:ascii="Arial" w:hAnsi="Arial" w:cs="Arial"/>
          <w:sz w:val="20"/>
          <w:lang w:val="hr-HR"/>
        </w:rPr>
        <w:t xml:space="preserve"> </w:t>
      </w:r>
      <w:r w:rsidRPr="00DE0F74">
        <w:rPr>
          <w:rFonts w:ascii="Arial" w:hAnsi="Arial" w:cs="Arial"/>
          <w:sz w:val="20"/>
        </w:rPr>
        <w:t>obuhvata</w:t>
      </w:r>
      <w:r w:rsidRPr="00806FD5">
        <w:rPr>
          <w:rFonts w:ascii="Arial" w:hAnsi="Arial" w:cs="Arial"/>
          <w:sz w:val="20"/>
          <w:lang w:val="hr-HR"/>
        </w:rPr>
        <w:t xml:space="preserve"> </w:t>
      </w:r>
      <w:r w:rsidRPr="00DE0F74">
        <w:rPr>
          <w:rFonts w:ascii="Arial" w:hAnsi="Arial" w:cs="Arial"/>
          <w:sz w:val="20"/>
        </w:rPr>
        <w:t>Plana</w:t>
      </w:r>
      <w:r w:rsidRPr="00806FD5">
        <w:rPr>
          <w:rFonts w:ascii="Arial" w:hAnsi="Arial" w:cs="Arial"/>
          <w:sz w:val="20"/>
          <w:lang w:val="hr-HR"/>
        </w:rPr>
        <w:t xml:space="preserve"> </w:t>
      </w:r>
      <w:r w:rsidRPr="00DE0F74">
        <w:rPr>
          <w:rFonts w:ascii="Arial" w:hAnsi="Arial" w:cs="Arial"/>
          <w:sz w:val="20"/>
        </w:rPr>
        <w:t>po</w:t>
      </w:r>
      <w:r w:rsidRPr="00806FD5">
        <w:rPr>
          <w:rFonts w:ascii="Arial" w:hAnsi="Arial" w:cs="Arial"/>
          <w:sz w:val="20"/>
          <w:lang w:val="hr-HR"/>
        </w:rPr>
        <w:t>č</w:t>
      </w:r>
      <w:r w:rsidRPr="00DE0F74">
        <w:rPr>
          <w:rFonts w:ascii="Arial" w:hAnsi="Arial" w:cs="Arial"/>
          <w:sz w:val="20"/>
        </w:rPr>
        <w:t>inje</w:t>
      </w:r>
      <w:r w:rsidRPr="00806FD5">
        <w:rPr>
          <w:rFonts w:ascii="Arial" w:hAnsi="Arial" w:cs="Arial"/>
          <w:sz w:val="20"/>
          <w:lang w:val="hr-HR"/>
        </w:rPr>
        <w:t xml:space="preserve"> </w:t>
      </w:r>
      <w:r w:rsidRPr="00DE0F74">
        <w:rPr>
          <w:rFonts w:ascii="Arial" w:hAnsi="Arial" w:cs="Arial"/>
          <w:sz w:val="20"/>
        </w:rPr>
        <w:t>na</w:t>
      </w:r>
      <w:r w:rsidRPr="00806FD5">
        <w:rPr>
          <w:rFonts w:ascii="Arial" w:hAnsi="Arial" w:cs="Arial"/>
          <w:sz w:val="20"/>
          <w:lang w:val="hr-HR"/>
        </w:rPr>
        <w:t xml:space="preserve"> </w:t>
      </w:r>
      <w:r w:rsidRPr="00DE0F74">
        <w:rPr>
          <w:rFonts w:ascii="Arial" w:hAnsi="Arial" w:cs="Arial"/>
          <w:sz w:val="20"/>
        </w:rPr>
        <w:t>propustu</w:t>
      </w:r>
      <w:r w:rsidRPr="00806FD5">
        <w:rPr>
          <w:rFonts w:ascii="Arial" w:hAnsi="Arial" w:cs="Arial"/>
          <w:sz w:val="20"/>
          <w:lang w:val="hr-HR"/>
        </w:rPr>
        <w:t xml:space="preserve"> </w:t>
      </w:r>
      <w:r w:rsidRPr="00DE0F74">
        <w:rPr>
          <w:rFonts w:ascii="Arial" w:hAnsi="Arial" w:cs="Arial"/>
          <w:sz w:val="20"/>
        </w:rPr>
        <w:t>k</w:t>
      </w:r>
      <w:r w:rsidRPr="00806FD5">
        <w:rPr>
          <w:rFonts w:ascii="Arial" w:hAnsi="Arial" w:cs="Arial"/>
          <w:sz w:val="20"/>
          <w:lang w:val="hr-HR"/>
        </w:rPr>
        <w:t>.</w:t>
      </w:r>
      <w:r w:rsidRPr="00DE0F74">
        <w:rPr>
          <w:rFonts w:ascii="Arial" w:hAnsi="Arial" w:cs="Arial"/>
          <w:sz w:val="20"/>
        </w:rPr>
        <w:t>p</w:t>
      </w:r>
      <w:r w:rsidRPr="00806FD5">
        <w:rPr>
          <w:rFonts w:ascii="Arial" w:hAnsi="Arial" w:cs="Arial"/>
          <w:sz w:val="20"/>
          <w:lang w:val="hr-HR"/>
        </w:rPr>
        <w:t>.</w:t>
      </w:r>
      <w:r w:rsidRPr="00DE0F74">
        <w:rPr>
          <w:rFonts w:ascii="Arial" w:hAnsi="Arial" w:cs="Arial"/>
          <w:sz w:val="20"/>
        </w:rPr>
        <w:t>br</w:t>
      </w:r>
      <w:r w:rsidRPr="00806FD5">
        <w:rPr>
          <w:rFonts w:ascii="Arial" w:hAnsi="Arial" w:cs="Arial"/>
          <w:sz w:val="20"/>
          <w:lang w:val="hr-HR"/>
        </w:rPr>
        <w:t xml:space="preserve">.3403/2 </w:t>
      </w:r>
      <w:r w:rsidRPr="00DE0F74">
        <w:rPr>
          <w:rFonts w:ascii="Arial" w:hAnsi="Arial" w:cs="Arial"/>
          <w:sz w:val="20"/>
        </w:rPr>
        <w:t>i</w:t>
      </w:r>
      <w:r w:rsidRPr="00806FD5">
        <w:rPr>
          <w:rFonts w:ascii="Arial" w:hAnsi="Arial" w:cs="Arial"/>
          <w:sz w:val="20"/>
          <w:lang w:val="hr-HR"/>
        </w:rPr>
        <w:t xml:space="preserve"> </w:t>
      </w:r>
      <w:r w:rsidRPr="00DE0F74">
        <w:rPr>
          <w:rFonts w:ascii="Arial" w:hAnsi="Arial" w:cs="Arial"/>
          <w:sz w:val="20"/>
        </w:rPr>
        <w:t>puta</w:t>
      </w:r>
      <w:r w:rsidRPr="00806FD5">
        <w:rPr>
          <w:rFonts w:ascii="Arial" w:hAnsi="Arial" w:cs="Arial"/>
          <w:sz w:val="20"/>
          <w:lang w:val="hr-HR"/>
        </w:rPr>
        <w:t xml:space="preserve"> </w:t>
      </w:r>
      <w:r w:rsidRPr="00DE0F74">
        <w:rPr>
          <w:rFonts w:ascii="Arial" w:hAnsi="Arial" w:cs="Arial"/>
          <w:sz w:val="20"/>
        </w:rPr>
        <w:t>Travnik</w:t>
      </w:r>
      <w:r w:rsidRPr="00806FD5">
        <w:rPr>
          <w:rFonts w:ascii="Arial" w:hAnsi="Arial" w:cs="Arial"/>
          <w:sz w:val="20"/>
          <w:lang w:val="hr-HR"/>
        </w:rPr>
        <w:t xml:space="preserve"> – </w:t>
      </w:r>
      <w:r w:rsidRPr="00DE0F74">
        <w:rPr>
          <w:rFonts w:ascii="Arial" w:hAnsi="Arial" w:cs="Arial"/>
          <w:sz w:val="20"/>
        </w:rPr>
        <w:t>Polje</w:t>
      </w:r>
      <w:r w:rsidRPr="00806FD5">
        <w:rPr>
          <w:rFonts w:ascii="Arial" w:hAnsi="Arial" w:cs="Arial"/>
          <w:sz w:val="20"/>
          <w:lang w:val="hr-HR"/>
        </w:rPr>
        <w:t xml:space="preserve"> (</w:t>
      </w:r>
      <w:r w:rsidRPr="00DE0F74">
        <w:rPr>
          <w:rFonts w:ascii="Arial" w:hAnsi="Arial" w:cs="Arial"/>
          <w:sz w:val="20"/>
        </w:rPr>
        <w:t>k</w:t>
      </w:r>
      <w:r w:rsidRPr="00806FD5">
        <w:rPr>
          <w:rFonts w:ascii="Arial" w:hAnsi="Arial" w:cs="Arial"/>
          <w:sz w:val="20"/>
          <w:lang w:val="hr-HR"/>
        </w:rPr>
        <w:t>.</w:t>
      </w:r>
      <w:r w:rsidRPr="00DE0F74">
        <w:rPr>
          <w:rFonts w:ascii="Arial" w:hAnsi="Arial" w:cs="Arial"/>
          <w:sz w:val="20"/>
        </w:rPr>
        <w:t>p</w:t>
      </w:r>
      <w:r w:rsidRPr="00806FD5">
        <w:rPr>
          <w:rFonts w:ascii="Arial" w:hAnsi="Arial" w:cs="Arial"/>
          <w:sz w:val="20"/>
          <w:lang w:val="hr-HR"/>
        </w:rPr>
        <w:t>.</w:t>
      </w:r>
      <w:r w:rsidRPr="00DE0F74">
        <w:rPr>
          <w:rFonts w:ascii="Arial" w:hAnsi="Arial" w:cs="Arial"/>
          <w:sz w:val="20"/>
        </w:rPr>
        <w:t>br</w:t>
      </w:r>
      <w:r w:rsidRPr="00806FD5">
        <w:rPr>
          <w:rFonts w:ascii="Arial" w:hAnsi="Arial" w:cs="Arial"/>
          <w:sz w:val="20"/>
          <w:lang w:val="hr-HR"/>
        </w:rPr>
        <w:t xml:space="preserve">.4001), </w:t>
      </w:r>
      <w:r w:rsidRPr="00DE0F74">
        <w:rPr>
          <w:rFonts w:ascii="Arial" w:hAnsi="Arial" w:cs="Arial"/>
          <w:sz w:val="20"/>
        </w:rPr>
        <w:t>ide</w:t>
      </w:r>
      <w:r w:rsidRPr="00806FD5">
        <w:rPr>
          <w:rFonts w:ascii="Arial" w:hAnsi="Arial" w:cs="Arial"/>
          <w:sz w:val="20"/>
          <w:lang w:val="hr-HR"/>
        </w:rPr>
        <w:t xml:space="preserve"> </w:t>
      </w:r>
      <w:r w:rsidRPr="00DE0F74">
        <w:rPr>
          <w:rFonts w:ascii="Arial" w:hAnsi="Arial" w:cs="Arial"/>
          <w:sz w:val="20"/>
        </w:rPr>
        <w:t>ju</w:t>
      </w:r>
      <w:r w:rsidRPr="00806FD5">
        <w:rPr>
          <w:rFonts w:ascii="Arial" w:hAnsi="Arial" w:cs="Arial"/>
          <w:sz w:val="20"/>
          <w:lang w:val="hr-HR"/>
        </w:rPr>
        <w:t>ž</w:t>
      </w:r>
      <w:r w:rsidRPr="00DE0F74">
        <w:rPr>
          <w:rFonts w:ascii="Arial" w:hAnsi="Arial" w:cs="Arial"/>
          <w:sz w:val="20"/>
        </w:rPr>
        <w:t>nom</w:t>
      </w:r>
      <w:r w:rsidRPr="00806FD5">
        <w:rPr>
          <w:rFonts w:ascii="Arial" w:hAnsi="Arial" w:cs="Arial"/>
          <w:sz w:val="20"/>
          <w:lang w:val="hr-HR"/>
        </w:rPr>
        <w:t xml:space="preserve"> </w:t>
      </w:r>
      <w:r w:rsidRPr="00DE0F74">
        <w:rPr>
          <w:rFonts w:ascii="Arial" w:hAnsi="Arial" w:cs="Arial"/>
          <w:sz w:val="20"/>
        </w:rPr>
        <w:t>granicom</w:t>
      </w:r>
      <w:r w:rsidRPr="00806FD5">
        <w:rPr>
          <w:rFonts w:ascii="Arial" w:hAnsi="Arial" w:cs="Arial"/>
          <w:sz w:val="20"/>
          <w:lang w:val="hr-HR"/>
        </w:rPr>
        <w:t xml:space="preserve">  </w:t>
      </w:r>
      <w:r w:rsidRPr="00DE0F74">
        <w:rPr>
          <w:rFonts w:ascii="Arial" w:hAnsi="Arial" w:cs="Arial"/>
          <w:sz w:val="20"/>
        </w:rPr>
        <w:t>parcela</w:t>
      </w:r>
      <w:r w:rsidRPr="00806FD5">
        <w:rPr>
          <w:rFonts w:ascii="Arial" w:hAnsi="Arial" w:cs="Arial"/>
          <w:sz w:val="20"/>
          <w:lang w:val="hr-HR"/>
        </w:rPr>
        <w:t xml:space="preserve"> 3406, 3399, </w:t>
      </w:r>
      <w:r w:rsidRPr="00DE0F74">
        <w:rPr>
          <w:rFonts w:ascii="Arial" w:hAnsi="Arial" w:cs="Arial"/>
          <w:sz w:val="20"/>
        </w:rPr>
        <w:t>pa</w:t>
      </w:r>
      <w:r w:rsidRPr="00806FD5">
        <w:rPr>
          <w:rFonts w:ascii="Arial" w:hAnsi="Arial" w:cs="Arial"/>
          <w:sz w:val="20"/>
          <w:lang w:val="hr-HR"/>
        </w:rPr>
        <w:t xml:space="preserve"> </w:t>
      </w:r>
      <w:r w:rsidRPr="00DE0F74">
        <w:rPr>
          <w:rFonts w:ascii="Arial" w:hAnsi="Arial" w:cs="Arial"/>
          <w:sz w:val="20"/>
        </w:rPr>
        <w:t>nastavlja</w:t>
      </w:r>
      <w:r w:rsidRPr="00806FD5">
        <w:rPr>
          <w:rFonts w:ascii="Arial" w:hAnsi="Arial" w:cs="Arial"/>
          <w:sz w:val="20"/>
          <w:lang w:val="hr-HR"/>
        </w:rPr>
        <w:t xml:space="preserve"> </w:t>
      </w:r>
      <w:r w:rsidRPr="00DE0F74">
        <w:rPr>
          <w:rFonts w:ascii="Arial" w:hAnsi="Arial" w:cs="Arial"/>
          <w:sz w:val="20"/>
        </w:rPr>
        <w:t>sjevernom</w:t>
      </w:r>
      <w:r w:rsidRPr="00806FD5">
        <w:rPr>
          <w:rFonts w:ascii="Arial" w:hAnsi="Arial" w:cs="Arial"/>
          <w:sz w:val="20"/>
          <w:lang w:val="hr-HR"/>
        </w:rPr>
        <w:t xml:space="preserve"> </w:t>
      </w:r>
      <w:r w:rsidRPr="00DE0F74">
        <w:rPr>
          <w:rFonts w:ascii="Arial" w:hAnsi="Arial" w:cs="Arial"/>
          <w:sz w:val="20"/>
        </w:rPr>
        <w:t>granicom</w:t>
      </w:r>
      <w:r w:rsidRPr="00806FD5">
        <w:rPr>
          <w:rFonts w:ascii="Arial" w:hAnsi="Arial" w:cs="Arial"/>
          <w:sz w:val="20"/>
          <w:lang w:val="hr-HR"/>
        </w:rPr>
        <w:t xml:space="preserve"> </w:t>
      </w:r>
      <w:r w:rsidRPr="00DE0F74">
        <w:rPr>
          <w:rFonts w:ascii="Arial" w:hAnsi="Arial" w:cs="Arial"/>
          <w:sz w:val="20"/>
        </w:rPr>
        <w:t>puta</w:t>
      </w:r>
      <w:r w:rsidRPr="00806FD5">
        <w:rPr>
          <w:rFonts w:ascii="Arial" w:hAnsi="Arial" w:cs="Arial"/>
          <w:sz w:val="20"/>
          <w:lang w:val="hr-HR"/>
        </w:rPr>
        <w:t xml:space="preserve"> 3373/1 </w:t>
      </w:r>
      <w:r w:rsidRPr="00DE0F74">
        <w:rPr>
          <w:rFonts w:ascii="Arial" w:hAnsi="Arial" w:cs="Arial"/>
          <w:sz w:val="20"/>
        </w:rPr>
        <w:t>do</w:t>
      </w:r>
      <w:r w:rsidRPr="00806FD5">
        <w:rPr>
          <w:rFonts w:ascii="Arial" w:hAnsi="Arial" w:cs="Arial"/>
          <w:sz w:val="20"/>
          <w:lang w:val="hr-HR"/>
        </w:rPr>
        <w:t xml:space="preserve"> </w:t>
      </w:r>
      <w:r w:rsidRPr="00DE0F74">
        <w:rPr>
          <w:rFonts w:ascii="Arial" w:hAnsi="Arial" w:cs="Arial"/>
          <w:sz w:val="20"/>
        </w:rPr>
        <w:t>raskrsnice</w:t>
      </w:r>
      <w:r w:rsidRPr="00806FD5">
        <w:rPr>
          <w:rFonts w:ascii="Arial" w:hAnsi="Arial" w:cs="Arial"/>
          <w:sz w:val="20"/>
          <w:lang w:val="hr-HR"/>
        </w:rPr>
        <w:t xml:space="preserve"> </w:t>
      </w:r>
      <w:r w:rsidRPr="00DE0F74">
        <w:rPr>
          <w:rFonts w:ascii="Arial" w:hAnsi="Arial" w:cs="Arial"/>
          <w:sz w:val="20"/>
        </w:rPr>
        <w:t>puteva</w:t>
      </w:r>
      <w:r w:rsidRPr="00806FD5">
        <w:rPr>
          <w:rFonts w:ascii="Arial" w:hAnsi="Arial" w:cs="Arial"/>
          <w:sz w:val="20"/>
          <w:lang w:val="hr-HR"/>
        </w:rPr>
        <w:t xml:space="preserve"> </w:t>
      </w:r>
      <w:r w:rsidRPr="00DE0F74">
        <w:rPr>
          <w:rFonts w:ascii="Arial" w:hAnsi="Arial" w:cs="Arial"/>
          <w:sz w:val="20"/>
        </w:rPr>
        <w:t>ozna</w:t>
      </w:r>
      <w:r w:rsidRPr="00806FD5">
        <w:rPr>
          <w:rFonts w:ascii="Arial" w:hAnsi="Arial" w:cs="Arial"/>
          <w:sz w:val="20"/>
          <w:lang w:val="hr-HR"/>
        </w:rPr>
        <w:t>č</w:t>
      </w:r>
      <w:r w:rsidRPr="00DE0F74">
        <w:rPr>
          <w:rFonts w:ascii="Arial" w:hAnsi="Arial" w:cs="Arial"/>
          <w:sz w:val="20"/>
        </w:rPr>
        <w:t>enih</w:t>
      </w:r>
      <w:r w:rsidRPr="00806FD5">
        <w:rPr>
          <w:rFonts w:ascii="Arial" w:hAnsi="Arial" w:cs="Arial"/>
          <w:sz w:val="20"/>
          <w:lang w:val="hr-HR"/>
        </w:rPr>
        <w:t xml:space="preserve"> </w:t>
      </w:r>
      <w:r w:rsidRPr="00DE0F74">
        <w:rPr>
          <w:rFonts w:ascii="Arial" w:hAnsi="Arial" w:cs="Arial"/>
          <w:sz w:val="20"/>
        </w:rPr>
        <w:t>kao</w:t>
      </w:r>
      <w:r w:rsidRPr="00806FD5">
        <w:rPr>
          <w:rFonts w:ascii="Arial" w:hAnsi="Arial" w:cs="Arial"/>
          <w:sz w:val="20"/>
          <w:lang w:val="hr-HR"/>
        </w:rPr>
        <w:t xml:space="preserve"> </w:t>
      </w:r>
      <w:r w:rsidRPr="00DE0F74">
        <w:rPr>
          <w:rFonts w:ascii="Arial" w:hAnsi="Arial" w:cs="Arial"/>
          <w:sz w:val="20"/>
        </w:rPr>
        <w:t>k</w:t>
      </w:r>
      <w:r w:rsidRPr="00806FD5">
        <w:rPr>
          <w:rFonts w:ascii="Arial" w:hAnsi="Arial" w:cs="Arial"/>
          <w:sz w:val="20"/>
          <w:lang w:val="hr-HR"/>
        </w:rPr>
        <w:t>.</w:t>
      </w:r>
      <w:r w:rsidRPr="00DE0F74">
        <w:rPr>
          <w:rFonts w:ascii="Arial" w:hAnsi="Arial" w:cs="Arial"/>
          <w:sz w:val="20"/>
        </w:rPr>
        <w:t>p</w:t>
      </w:r>
      <w:r w:rsidRPr="00806FD5">
        <w:rPr>
          <w:rFonts w:ascii="Arial" w:hAnsi="Arial" w:cs="Arial"/>
          <w:sz w:val="20"/>
          <w:lang w:val="hr-HR"/>
        </w:rPr>
        <w:t>.</w:t>
      </w:r>
      <w:r w:rsidRPr="00DE0F74">
        <w:rPr>
          <w:rFonts w:ascii="Arial" w:hAnsi="Arial" w:cs="Arial"/>
          <w:sz w:val="20"/>
        </w:rPr>
        <w:t>br</w:t>
      </w:r>
      <w:r w:rsidRPr="00806FD5">
        <w:rPr>
          <w:rFonts w:ascii="Arial" w:hAnsi="Arial" w:cs="Arial"/>
          <w:sz w:val="20"/>
          <w:lang w:val="hr-HR"/>
        </w:rPr>
        <w:t xml:space="preserve">.3368 </w:t>
      </w:r>
      <w:r w:rsidRPr="00DE0F74">
        <w:rPr>
          <w:rFonts w:ascii="Arial" w:hAnsi="Arial" w:cs="Arial"/>
          <w:sz w:val="20"/>
        </w:rPr>
        <w:t>i</w:t>
      </w:r>
      <w:r w:rsidRPr="00806FD5">
        <w:rPr>
          <w:rFonts w:ascii="Arial" w:hAnsi="Arial" w:cs="Arial"/>
          <w:sz w:val="20"/>
          <w:lang w:val="hr-HR"/>
        </w:rPr>
        <w:t xml:space="preserve"> 3373/1. </w:t>
      </w:r>
      <w:r w:rsidRPr="00DE0F74">
        <w:rPr>
          <w:rFonts w:ascii="Arial" w:hAnsi="Arial" w:cs="Arial"/>
          <w:sz w:val="20"/>
        </w:rPr>
        <w:t xml:space="preserve">Tu presjeca ovaj put k.p.br 4934/1 prema jugoistoku do tromeđe parcela 3355/7 i 3359, zatim ide zapadnom granicom parcele 3355/7 do granice 3355/1 do potoka, odnosno južnom granicom parcela k.p.br. 3355/7, 3355/2, 3354/1, 3353/1, 3352/3, 3353/2, 3351/1, 3351/3 sve do potoka (k.p.br. 3906). Zatim nizvodno potokom cijelom njegovom dužinom do lokalnog puta Slimena – Dolac na Lašvi k.p.br. 4040, nadalje presjeca navedeni put pod pravim uglom odakle nastavlja njegovom jugoistočnom stranom uz Mesnu industriju “Bajra” sve putem do mosta na rijeci Lašvi do kapije Tvornice šibica. Nastavlja jugozapadnom stranom ulice tvorničkog kruga k.p.br.3167, zatim se lomi jugoistočnom granicom iste parcele do tromeđe parcela k.p.br.3172/1 i 3172/4, gdje se okomito lomi sjeverozapadnom granicom iste parcele do parcele 3210. Nadalje ide jugoistočnom granicom parcele 3210 ka sjeveru, zatim istočnom granicom parcela k.p.br.2991,  2992, zatim sjevernom stranom puta k.p.br. 2996 pod pravim uglom presjeca rijeku Lašvu,  dolazi do raskršća magistralnog puta M-5 i lokalnog puta Travnik – Guča Gora. Nadalje ide sjevernom stranom granice puta Travnik – Guča Gora k.p.br.4036, do okomitog presjeka preko puta k.p.br. 4036 do tromeđe parcela 3010/9 i 3010/10. Zatim se spušta granicom istih parcela do pristupnog puta 3010/2 isti presjeca do tromeđe parcela 3010/14 I 3010/15, pa dalje ide jugozapadnom stranom puta 3010/2 do kraja puta do parcele 3010/5. Zatim takođe jugozapadnom stranom parcela: k.,p.br.3010/5, 3010/3, 3010/4, 3011/5, 3011/4,3011/3, 3011/2 dolazi do puta 3012/2. Nadalje ide jugozapadnom stranom parcela : 3013/1, 3013/4, 3013/7, zatim ide sjevernom stranom granice parcele 3965/5 do parcele 3965/6, zatim ide ka jugoistoku donjom granicom parcele 3965/7, 3965/8 i 3965/11 i nastavlja sjeveroistočnom stranom parcele 3031 do puta k.p.br.3032. Tu presjeca put  i južnom stranom parcela 3034, 3970, 3039 i 3049 na lomu parcele 3049 skreće ka jugu i jugoistočnom stranom parcela 3055/1, 3055/2, 3055/3, presjeca pod pravim uglom magistralni put M-5 k.p.br.4038.( sve gore navedene parcele pripadaju K.O:Travnik), do parcele 1321 .K.O Slimena. Nadalje jugoistočnom granicom parcela 1321, 1322, 1323, 1329, 1330 dolazi do rijeke Lašve. Zatim nizvodno koritom rijeke Lašve ide do Lašvine otoke k.p.br. 1333 i produžava istom  do iznad (k.p.br.1334) - Mlin. Od mlina (k.p.br.1334) okomito presjeca parcele k.p.br.473/1 do lokalnog puta </w:t>
      </w:r>
      <w:r w:rsidRPr="00DE0F74">
        <w:rPr>
          <w:rFonts w:ascii="Arial" w:hAnsi="Arial" w:cs="Arial"/>
          <w:sz w:val="20"/>
        </w:rPr>
        <w:lastRenderedPageBreak/>
        <w:t>Travnik – Polje, zatim ide zapadnom granicom puta k.p.br. 1162/2 do k.p.br.417/1, te jugozapadnom stranom iste parcele ide prema 417/2 do stadiona FK “Lašva” (k.p.br.418), nadalje se vraća prema putu Travnik – Polje i obuhvata navedeni stadion sve do tromeđe parcela k.p.br.419, 420/4, 451/1. Potom granica ide jugozapadnom stranom parcela k.p.br.451/1, 451/2 sve do kompleksa Mesne industrije “Bajra” i dolazi na put Travnik – Polje k.p.br.1161. Odatle okomito presjeca put i njegovom južnom stranom ide do raskršća kod Stare Ciglane k.p.br.4033. Nadalje ide istočnom stranom puta do tromeđe parcela k.p.br.3833, 3832/1, gdje presjeca put Dolac – Slimena do tromeđe parcela: 3038/5, 3038/8, ide sjeveroistočnom stranom parcela: 3826/1, 3825, 3823/11, do tromeđe parcela: 3823/1, 3822/6, 3715/12. Na toj tromeđi se granica lomi sjeveroistočnom granicom parcele 3715/19, 3715/20 sve do puta  Travnik – Polje k.p.br. 4043. Nadalje granica nastavlja jugoistočnom stranom navedenog puta (k.p.br. 4043) preko lokaliteta Sadikov Bunar sve do početne tačke obuhvata plana.</w:t>
      </w:r>
    </w:p>
    <w:p w:rsidR="00DE0F74" w:rsidRPr="00DE0F74" w:rsidRDefault="00DE0F74" w:rsidP="00DE0F74">
      <w:pPr>
        <w:pStyle w:val="BodyTextIndent"/>
        <w:ind w:left="0"/>
        <w:jc w:val="both"/>
        <w:rPr>
          <w:sz w:val="20"/>
        </w:rPr>
      </w:pPr>
    </w:p>
    <w:p w:rsidR="00DE0F74" w:rsidRPr="00DE0F74" w:rsidRDefault="00DE0F74" w:rsidP="00DE0F74">
      <w:pPr>
        <w:jc w:val="center"/>
        <w:rPr>
          <w:b/>
          <w:sz w:val="20"/>
          <w:szCs w:val="20"/>
        </w:rPr>
      </w:pPr>
      <w:r w:rsidRPr="00DE0F74">
        <w:rPr>
          <w:b/>
          <w:sz w:val="20"/>
          <w:szCs w:val="20"/>
        </w:rPr>
        <w:t>Član 3.</w:t>
      </w:r>
    </w:p>
    <w:p w:rsidR="00DE0F74" w:rsidRPr="00DE0F74" w:rsidRDefault="00DE0F74" w:rsidP="00DE0F74">
      <w:pPr>
        <w:jc w:val="center"/>
        <w:rPr>
          <w:b/>
          <w:sz w:val="20"/>
          <w:szCs w:val="20"/>
        </w:rPr>
      </w:pPr>
    </w:p>
    <w:p w:rsidR="00DE0F74" w:rsidRPr="00DE0F74" w:rsidRDefault="00DE0F74" w:rsidP="00DE0F74">
      <w:pPr>
        <w:ind w:firstLine="708"/>
        <w:jc w:val="both"/>
        <w:rPr>
          <w:sz w:val="20"/>
          <w:szCs w:val="20"/>
        </w:rPr>
      </w:pPr>
      <w:r w:rsidRPr="00DE0F74">
        <w:rPr>
          <w:sz w:val="20"/>
          <w:szCs w:val="20"/>
        </w:rPr>
        <w:t>Regulacionim planom radno-poslovne zone „Polje„ potrebno je osigurati plansko uređenje prostora sa slijedećim uslovima:</w:t>
      </w:r>
    </w:p>
    <w:p w:rsidR="00DE0F74" w:rsidRPr="00DE0F74" w:rsidRDefault="00DE0F74" w:rsidP="00DE0F74">
      <w:pPr>
        <w:numPr>
          <w:ilvl w:val="0"/>
          <w:numId w:val="1"/>
        </w:numPr>
        <w:jc w:val="both"/>
        <w:rPr>
          <w:rFonts w:cs="Arial"/>
          <w:sz w:val="20"/>
          <w:szCs w:val="20"/>
        </w:rPr>
      </w:pPr>
      <w:r w:rsidRPr="00DE0F74">
        <w:rPr>
          <w:rFonts w:cs="Arial"/>
          <w:sz w:val="20"/>
          <w:szCs w:val="20"/>
        </w:rPr>
        <w:t xml:space="preserve">Parametrima izgrađenosti i iskorištenosti površina radne industrijsko/poslovne zone treba postići uravnoteženi odnos između ekonomičnosti i opterećenosti prostora (zaštite). </w:t>
      </w:r>
    </w:p>
    <w:p w:rsidR="00DE0F74" w:rsidRPr="00DE0F74" w:rsidRDefault="00DE0F74" w:rsidP="00DE0F74">
      <w:pPr>
        <w:numPr>
          <w:ilvl w:val="0"/>
          <w:numId w:val="1"/>
        </w:numPr>
        <w:tabs>
          <w:tab w:val="left" w:pos="709"/>
          <w:tab w:val="right" w:pos="9072"/>
        </w:tabs>
        <w:adjustRightInd w:val="0"/>
        <w:snapToGrid w:val="0"/>
        <w:jc w:val="both"/>
        <w:rPr>
          <w:rFonts w:cs="Arial"/>
          <w:sz w:val="20"/>
          <w:szCs w:val="20"/>
        </w:rPr>
      </w:pPr>
      <w:r w:rsidRPr="00DE0F74">
        <w:rPr>
          <w:rFonts w:cs="Arial"/>
          <w:sz w:val="20"/>
          <w:szCs w:val="20"/>
        </w:rPr>
        <w:t>Potrebno je postići što veću iskorištenost površina zone, uz formiranje - zadržavanje odgovarajućih zelenih površina u funkciji zaštite (mikroklima, buka, ambijent ), i to na način da se iz funkcionalnih površina zone isključuju površine nepovoljnije i skuplje za uređenje zaravnatih platoa i posebno dominantne uzvisine.</w:t>
      </w:r>
    </w:p>
    <w:p w:rsidR="00DE0F74" w:rsidRPr="00DE0F74" w:rsidRDefault="00DE0F74" w:rsidP="00DE0F74">
      <w:pPr>
        <w:numPr>
          <w:ilvl w:val="0"/>
          <w:numId w:val="1"/>
        </w:numPr>
        <w:jc w:val="both"/>
        <w:rPr>
          <w:rFonts w:cs="Arial"/>
          <w:sz w:val="20"/>
          <w:szCs w:val="20"/>
        </w:rPr>
      </w:pPr>
      <w:r w:rsidRPr="00DE0F74">
        <w:rPr>
          <w:rFonts w:cs="Arial"/>
          <w:sz w:val="20"/>
          <w:szCs w:val="20"/>
        </w:rPr>
        <w:t>Prostorna organizacija radne zone treba omogućiti i etapnu realizaciju manjih zaokruženih cjelina, a prema mogućnostima realizacije i interesu popunjavanja zone.</w:t>
      </w:r>
    </w:p>
    <w:p w:rsidR="00DE0F74" w:rsidRPr="00DE0F74" w:rsidRDefault="00DE0F74" w:rsidP="00DE0F74">
      <w:pPr>
        <w:numPr>
          <w:ilvl w:val="0"/>
          <w:numId w:val="1"/>
        </w:numPr>
        <w:jc w:val="both"/>
        <w:rPr>
          <w:rFonts w:cs="Arial"/>
          <w:sz w:val="20"/>
          <w:szCs w:val="20"/>
        </w:rPr>
      </w:pPr>
      <w:r w:rsidRPr="00DE0F74">
        <w:rPr>
          <w:rFonts w:cs="Arial"/>
          <w:sz w:val="20"/>
          <w:szCs w:val="20"/>
        </w:rPr>
        <w:t>Obzirom da je područje danas neuređeno, biti će potrebno pristupiti opsežnom uređenju i opremanju zemljišta prometnom i komunalnom infrastrukturom.</w:t>
      </w:r>
    </w:p>
    <w:p w:rsidR="00DE0F74" w:rsidRPr="00DE0F74" w:rsidRDefault="00DE0F74" w:rsidP="00DE0F74">
      <w:pPr>
        <w:numPr>
          <w:ilvl w:val="0"/>
          <w:numId w:val="1"/>
        </w:numPr>
        <w:jc w:val="both"/>
        <w:rPr>
          <w:rFonts w:cs="Arial"/>
          <w:sz w:val="20"/>
          <w:szCs w:val="20"/>
        </w:rPr>
      </w:pPr>
      <w:r w:rsidRPr="00DE0F74">
        <w:rPr>
          <w:rFonts w:cs="Arial"/>
          <w:sz w:val="20"/>
          <w:szCs w:val="20"/>
        </w:rPr>
        <w:t>Prostorna organizacija zone u prvi plan stavlja optimalni smještaj  koridora brze ceste, kao najkrućeg i najzahtjevnijeg prostornog elementa obzirom na zahtjevanu veličinu zaštitnog pojasa.</w:t>
      </w:r>
    </w:p>
    <w:p w:rsidR="00DE0F74" w:rsidRPr="00DE0F74" w:rsidRDefault="00DE0F74" w:rsidP="00DE0F74">
      <w:pPr>
        <w:numPr>
          <w:ilvl w:val="0"/>
          <w:numId w:val="1"/>
        </w:numPr>
        <w:jc w:val="both"/>
        <w:rPr>
          <w:rFonts w:cs="Arial"/>
          <w:sz w:val="20"/>
          <w:szCs w:val="20"/>
        </w:rPr>
      </w:pPr>
      <w:r w:rsidRPr="00DE0F74">
        <w:rPr>
          <w:rFonts w:cs="Arial"/>
          <w:sz w:val="20"/>
          <w:szCs w:val="20"/>
        </w:rPr>
        <w:t>Primarna je također optimalna intrazonska prometna mreža obzirom ne dostupnost i iskorištenost prostornih potencijala zone, sa odgovarajućim priključcima na magistralni put i valorizacijom izvedenih puteva, u funkciji povezivanja sa naseljima i planiranom radno industrijskom/poslovnom zonom.</w:t>
      </w:r>
    </w:p>
    <w:p w:rsidR="00DE0F74" w:rsidRPr="00DE0F74" w:rsidRDefault="00DE0F74" w:rsidP="00DE0F74">
      <w:pPr>
        <w:numPr>
          <w:ilvl w:val="0"/>
          <w:numId w:val="1"/>
        </w:numPr>
        <w:jc w:val="both"/>
        <w:rPr>
          <w:rFonts w:cs="Arial"/>
          <w:sz w:val="20"/>
          <w:szCs w:val="20"/>
        </w:rPr>
      </w:pPr>
      <w:r w:rsidRPr="00DE0F74">
        <w:rPr>
          <w:rFonts w:cs="Arial"/>
          <w:sz w:val="20"/>
          <w:szCs w:val="20"/>
        </w:rPr>
        <w:t>Također je bitno, uz optimalno uređenje radnih površina, i planiranje svih potrebnih pratećih sadržaja koji doprinose kvalitativnoj razini cjelokupne zone.</w:t>
      </w:r>
    </w:p>
    <w:p w:rsidR="00DE0F74" w:rsidRPr="00DE0F74" w:rsidRDefault="00DE0F74" w:rsidP="00DE0F74">
      <w:pPr>
        <w:pStyle w:val="TESTO"/>
        <w:numPr>
          <w:ilvl w:val="0"/>
          <w:numId w:val="1"/>
        </w:numPr>
        <w:rPr>
          <w:rFonts w:ascii="Arial" w:hAnsi="Arial" w:cs="Arial"/>
          <w:sz w:val="20"/>
          <w:lang w:val="hr-HR"/>
        </w:rPr>
      </w:pPr>
      <w:r w:rsidRPr="00DE0F74">
        <w:rPr>
          <w:rFonts w:ascii="Arial" w:hAnsi="Arial" w:cs="Arial"/>
          <w:sz w:val="20"/>
          <w:lang w:val="hr-HR"/>
        </w:rPr>
        <w:t xml:space="preserve">U sklopu zone se određuju strukture javnih prometnih površina i površina industrijske/poslovne  namjene, obzirom na karakteristike zemljišta, planiranu namjenu i organizaciju prostora. </w:t>
      </w:r>
    </w:p>
    <w:p w:rsidR="00DE0F74" w:rsidRPr="00DE0F74" w:rsidRDefault="00DE0F74" w:rsidP="00DE0F74">
      <w:pPr>
        <w:pStyle w:val="TESTO"/>
        <w:numPr>
          <w:ilvl w:val="0"/>
          <w:numId w:val="1"/>
        </w:numPr>
        <w:rPr>
          <w:rFonts w:ascii="Arial" w:hAnsi="Arial" w:cs="Arial"/>
          <w:sz w:val="20"/>
          <w:lang w:val="hr-HR"/>
        </w:rPr>
      </w:pPr>
      <w:r w:rsidRPr="00DE0F74">
        <w:rPr>
          <w:rFonts w:ascii="Arial" w:hAnsi="Arial" w:cs="Arial"/>
          <w:sz w:val="20"/>
          <w:lang w:val="hr-HR"/>
        </w:rPr>
        <w:t xml:space="preserve">Organizacija zone i planirane površine platoa za građenje, odnosno građevnih parcela, trebaju udovoljiti kriterijima organizacije planiranih i potencijalnih sadržaja - budućih korisnika, što uključuje odgovarajuće veličine funkcionalnih cjelina, fleksibilnost - mogućnost preparcelacije, različite namjene i sl. </w:t>
      </w:r>
    </w:p>
    <w:p w:rsidR="00DE0F74" w:rsidRPr="00DE0F74" w:rsidRDefault="00DE0F74" w:rsidP="00DE0F74">
      <w:pPr>
        <w:numPr>
          <w:ilvl w:val="0"/>
          <w:numId w:val="1"/>
        </w:numPr>
        <w:jc w:val="both"/>
        <w:rPr>
          <w:rFonts w:cs="Arial"/>
          <w:sz w:val="20"/>
          <w:szCs w:val="20"/>
        </w:rPr>
      </w:pPr>
      <w:r w:rsidRPr="00DE0F74">
        <w:rPr>
          <w:rFonts w:cs="Arial"/>
          <w:sz w:val="20"/>
          <w:szCs w:val="20"/>
        </w:rPr>
        <w:t>Unutar površina insustrijske/poslovne namjene određuju se mogućnosti formiranja platoa s načelnim nivelacijskim kotama a time i gradjevinskih parcela, uz moguće formiranje više građevnih parcela na jednom platou.</w:t>
      </w:r>
    </w:p>
    <w:p w:rsidR="00DE0F74" w:rsidRPr="00DE0F74" w:rsidRDefault="00DE0F74" w:rsidP="00DE0F74">
      <w:pPr>
        <w:numPr>
          <w:ilvl w:val="0"/>
          <w:numId w:val="1"/>
        </w:numPr>
        <w:jc w:val="both"/>
        <w:rPr>
          <w:rFonts w:cs="Arial"/>
          <w:sz w:val="20"/>
          <w:szCs w:val="20"/>
        </w:rPr>
      </w:pPr>
      <w:r w:rsidRPr="00DE0F74">
        <w:rPr>
          <w:rFonts w:cs="Arial"/>
          <w:sz w:val="20"/>
          <w:szCs w:val="20"/>
        </w:rPr>
        <w:t>Zaštitu prostora u radnoj zoni, i posredno u širem prostoru, potrebno je osigurati primarno:</w:t>
      </w:r>
    </w:p>
    <w:p w:rsidR="00DE0F74" w:rsidRPr="00DE0F74" w:rsidRDefault="00DE0F74" w:rsidP="00DE0F74">
      <w:pPr>
        <w:ind w:left="1440"/>
        <w:jc w:val="both"/>
        <w:rPr>
          <w:rFonts w:cs="Arial"/>
          <w:sz w:val="20"/>
          <w:szCs w:val="20"/>
        </w:rPr>
      </w:pPr>
      <w:r w:rsidRPr="00DE0F74">
        <w:rPr>
          <w:rFonts w:cs="Arial"/>
          <w:sz w:val="20"/>
          <w:szCs w:val="20"/>
        </w:rPr>
        <w:t>-odabirom djelatnosti, posebno proizvodnih (čista industrija)  i propisivanjem mjera zaštite</w:t>
      </w:r>
    </w:p>
    <w:p w:rsidR="00DE0F74" w:rsidRPr="00DE0F74" w:rsidRDefault="00DE0F74" w:rsidP="00DE0F74">
      <w:pPr>
        <w:ind w:left="1440"/>
        <w:jc w:val="both"/>
        <w:rPr>
          <w:rFonts w:cs="Arial"/>
          <w:sz w:val="20"/>
          <w:szCs w:val="20"/>
        </w:rPr>
      </w:pPr>
      <w:r w:rsidRPr="00DE0F74">
        <w:rPr>
          <w:rFonts w:cs="Arial"/>
          <w:sz w:val="20"/>
          <w:szCs w:val="20"/>
        </w:rPr>
        <w:t>-prostornom organizacijom - lociranjem pojedinih sadržaja</w:t>
      </w:r>
    </w:p>
    <w:p w:rsidR="00DE0F74" w:rsidRPr="00DE0F74" w:rsidRDefault="00DE0F74" w:rsidP="00DE0F74">
      <w:pPr>
        <w:ind w:left="1440"/>
        <w:jc w:val="both"/>
        <w:rPr>
          <w:rFonts w:cs="Arial"/>
          <w:sz w:val="20"/>
          <w:szCs w:val="20"/>
        </w:rPr>
      </w:pPr>
      <w:r w:rsidRPr="00DE0F74">
        <w:rPr>
          <w:rFonts w:cs="Arial"/>
          <w:sz w:val="20"/>
          <w:szCs w:val="20"/>
        </w:rPr>
        <w:t>-određivanjem koeficijenata izgrađenosti i iskorištenosti u cilju primjerene opterećenosti prostora</w:t>
      </w:r>
    </w:p>
    <w:p w:rsidR="00DE0F74" w:rsidRPr="00DE0F74" w:rsidRDefault="00DE0F74" w:rsidP="00DE0F74">
      <w:pPr>
        <w:ind w:left="1440"/>
        <w:jc w:val="both"/>
        <w:rPr>
          <w:rFonts w:cs="Arial"/>
          <w:sz w:val="20"/>
          <w:szCs w:val="20"/>
        </w:rPr>
      </w:pPr>
      <w:r w:rsidRPr="00DE0F74">
        <w:rPr>
          <w:rFonts w:cs="Arial"/>
          <w:sz w:val="20"/>
          <w:szCs w:val="20"/>
        </w:rPr>
        <w:t>-odgovarajućim rješenjem odvodnje otpadnih voda</w:t>
      </w:r>
    </w:p>
    <w:p w:rsidR="00DE0F74" w:rsidRPr="00DE0F74" w:rsidRDefault="00DE0F74" w:rsidP="00DE0F74">
      <w:pPr>
        <w:ind w:left="1440"/>
        <w:jc w:val="both"/>
        <w:rPr>
          <w:rFonts w:cs="Arial"/>
          <w:sz w:val="20"/>
          <w:szCs w:val="20"/>
        </w:rPr>
      </w:pPr>
      <w:r w:rsidRPr="00DE0F74">
        <w:rPr>
          <w:rFonts w:cs="Arial"/>
          <w:sz w:val="20"/>
          <w:szCs w:val="20"/>
        </w:rPr>
        <w:t>-korištenjem primarno čistih energenata ( plin i električna energija, uz dopunu alternativnim izvorima energije)</w:t>
      </w:r>
    </w:p>
    <w:p w:rsidR="00DE0F74" w:rsidRPr="00DE0F74" w:rsidRDefault="00DE0F74" w:rsidP="00DE0F74">
      <w:pPr>
        <w:numPr>
          <w:ilvl w:val="0"/>
          <w:numId w:val="2"/>
        </w:numPr>
        <w:jc w:val="both"/>
        <w:rPr>
          <w:sz w:val="20"/>
          <w:szCs w:val="20"/>
        </w:rPr>
      </w:pPr>
      <w:r w:rsidRPr="00DE0F74">
        <w:rPr>
          <w:sz w:val="20"/>
          <w:szCs w:val="20"/>
        </w:rPr>
        <w:t>ostale sadržaje locirati tako da čine funkcionalnu i urbanističku cjelinu,</w:t>
      </w:r>
    </w:p>
    <w:p w:rsidR="00DE0F74" w:rsidRPr="00DE0F74" w:rsidRDefault="00DE0F74" w:rsidP="00DE0F74">
      <w:pPr>
        <w:numPr>
          <w:ilvl w:val="0"/>
          <w:numId w:val="2"/>
        </w:numPr>
        <w:jc w:val="both"/>
        <w:rPr>
          <w:sz w:val="20"/>
          <w:szCs w:val="20"/>
        </w:rPr>
      </w:pPr>
      <w:r w:rsidRPr="00DE0F74">
        <w:rPr>
          <w:sz w:val="20"/>
          <w:szCs w:val="20"/>
        </w:rPr>
        <w:t>cjelokupan prostor opremiti potrebnom infrastrukturom</w:t>
      </w:r>
    </w:p>
    <w:p w:rsidR="00DE0F74" w:rsidRPr="00DE0F74" w:rsidRDefault="00DE0F74" w:rsidP="00DE0F74">
      <w:pPr>
        <w:rPr>
          <w:noProof w:val="0"/>
          <w:sz w:val="20"/>
          <w:szCs w:val="20"/>
        </w:rPr>
      </w:pPr>
    </w:p>
    <w:p w:rsidR="00DE0F74" w:rsidRDefault="00DE0F74" w:rsidP="00DE0F74">
      <w:pPr>
        <w:jc w:val="center"/>
        <w:rPr>
          <w:b/>
          <w:sz w:val="20"/>
          <w:szCs w:val="20"/>
        </w:rPr>
      </w:pPr>
    </w:p>
    <w:p w:rsidR="00DE0F74" w:rsidRDefault="00DE0F74" w:rsidP="00DE0F74">
      <w:pPr>
        <w:jc w:val="center"/>
        <w:rPr>
          <w:b/>
          <w:sz w:val="20"/>
          <w:szCs w:val="20"/>
        </w:rPr>
      </w:pPr>
    </w:p>
    <w:p w:rsidR="00DE0F74" w:rsidRDefault="00DE0F74" w:rsidP="00DE0F74">
      <w:pPr>
        <w:jc w:val="center"/>
        <w:rPr>
          <w:b/>
          <w:sz w:val="20"/>
          <w:szCs w:val="20"/>
        </w:rPr>
      </w:pPr>
      <w:r w:rsidRPr="00DE0F74">
        <w:rPr>
          <w:b/>
          <w:sz w:val="20"/>
          <w:szCs w:val="20"/>
        </w:rPr>
        <w:lastRenderedPageBreak/>
        <w:t>Član 4.</w:t>
      </w:r>
    </w:p>
    <w:p w:rsidR="00DE0F74" w:rsidRPr="00DE0F74" w:rsidRDefault="00DE0F74" w:rsidP="00DE0F74">
      <w:pPr>
        <w:jc w:val="center"/>
        <w:rPr>
          <w:b/>
          <w:sz w:val="20"/>
          <w:szCs w:val="20"/>
        </w:rPr>
      </w:pPr>
    </w:p>
    <w:p w:rsidR="00DE0F74" w:rsidRPr="00DE0F74" w:rsidRDefault="00DE0F74" w:rsidP="00DE0F74">
      <w:pPr>
        <w:ind w:firstLine="708"/>
        <w:jc w:val="both"/>
        <w:rPr>
          <w:sz w:val="20"/>
          <w:szCs w:val="20"/>
        </w:rPr>
      </w:pPr>
      <w:r w:rsidRPr="00DE0F74">
        <w:rPr>
          <w:sz w:val="20"/>
          <w:szCs w:val="20"/>
        </w:rPr>
        <w:t xml:space="preserve">Radi stvaranja uslova za provedbu, potrebno je Regulacioni plan radno-poslovne zone „Polje„ izraditi  u skladu sa Uredbom o jedinstvenoj metodologiji za izradu dokumenata prostornog uređenja a smjernice za izradu su slijedeće:  </w:t>
      </w:r>
    </w:p>
    <w:p w:rsidR="00DE0F74" w:rsidRPr="00DE0F74" w:rsidRDefault="00DE0F74" w:rsidP="00DE0F74">
      <w:pPr>
        <w:numPr>
          <w:ilvl w:val="0"/>
          <w:numId w:val="3"/>
        </w:numPr>
        <w:jc w:val="both"/>
        <w:rPr>
          <w:sz w:val="20"/>
          <w:szCs w:val="20"/>
        </w:rPr>
      </w:pPr>
      <w:r w:rsidRPr="00DE0F74">
        <w:rPr>
          <w:sz w:val="20"/>
          <w:szCs w:val="20"/>
        </w:rPr>
        <w:t>Konceptualno rješenje Plana treba biti usaglašeno sa planom uređenja šireg područja.</w:t>
      </w:r>
    </w:p>
    <w:p w:rsidR="00DE0F74" w:rsidRPr="00DE0F74" w:rsidRDefault="00DE0F74" w:rsidP="00DE0F74">
      <w:pPr>
        <w:numPr>
          <w:ilvl w:val="0"/>
          <w:numId w:val="3"/>
        </w:numPr>
        <w:jc w:val="both"/>
        <w:rPr>
          <w:sz w:val="20"/>
          <w:szCs w:val="20"/>
        </w:rPr>
      </w:pPr>
      <w:r w:rsidRPr="00DE0F74">
        <w:rPr>
          <w:sz w:val="20"/>
          <w:szCs w:val="20"/>
        </w:rPr>
        <w:t>U skladu sa metodologijom za izradu planova potrebno je ugraditi sve neophodne elemente i sadržaje kao i primjedbe, prijedloge i sugestije koje su date u toku izrade izmjene Plana.</w:t>
      </w:r>
    </w:p>
    <w:p w:rsidR="00DE0F74" w:rsidRPr="00DE0F74" w:rsidRDefault="00DE0F74" w:rsidP="00DE0F74">
      <w:pPr>
        <w:ind w:left="720"/>
        <w:jc w:val="both"/>
        <w:rPr>
          <w:sz w:val="20"/>
          <w:szCs w:val="20"/>
        </w:rPr>
      </w:pPr>
      <w:r w:rsidRPr="00DE0F74">
        <w:rPr>
          <w:sz w:val="20"/>
          <w:szCs w:val="20"/>
        </w:rPr>
        <w:t xml:space="preserve"> </w:t>
      </w:r>
    </w:p>
    <w:p w:rsidR="00DE0F74" w:rsidRDefault="00DE0F74" w:rsidP="00DE0F74">
      <w:pPr>
        <w:jc w:val="center"/>
        <w:rPr>
          <w:b/>
          <w:sz w:val="20"/>
          <w:szCs w:val="20"/>
        </w:rPr>
      </w:pPr>
      <w:r w:rsidRPr="00DE0F74">
        <w:rPr>
          <w:b/>
          <w:sz w:val="20"/>
          <w:szCs w:val="20"/>
        </w:rPr>
        <w:t>Član. 5.</w:t>
      </w:r>
    </w:p>
    <w:p w:rsidR="00DE0F74" w:rsidRPr="00DE0F74" w:rsidRDefault="00DE0F74" w:rsidP="00DE0F74">
      <w:pPr>
        <w:jc w:val="center"/>
        <w:rPr>
          <w:b/>
          <w:sz w:val="20"/>
          <w:szCs w:val="20"/>
        </w:rPr>
      </w:pPr>
    </w:p>
    <w:p w:rsidR="00DE0F74" w:rsidRPr="00DE0F74" w:rsidRDefault="00DE0F74" w:rsidP="00DE0F74">
      <w:pPr>
        <w:ind w:firstLine="708"/>
        <w:jc w:val="both"/>
        <w:rPr>
          <w:sz w:val="20"/>
          <w:szCs w:val="20"/>
        </w:rPr>
      </w:pPr>
      <w:r w:rsidRPr="00DE0F74">
        <w:rPr>
          <w:sz w:val="20"/>
          <w:szCs w:val="20"/>
        </w:rPr>
        <w:t>Služba za inspekcijski nadzor Općine Travnik će evidentirati stanje bespravno izgradjenih objekata i vršiti pojačan inspekcijski nadzor na predmetnom području u periodu izrade plana.</w:t>
      </w:r>
    </w:p>
    <w:p w:rsidR="00DE0F74" w:rsidRPr="00DE0F74" w:rsidRDefault="00DE0F74" w:rsidP="00DE0F74">
      <w:pPr>
        <w:rPr>
          <w:b/>
          <w:sz w:val="20"/>
          <w:szCs w:val="20"/>
        </w:rPr>
      </w:pPr>
    </w:p>
    <w:p w:rsidR="00DE0F74" w:rsidRDefault="00DE0F74" w:rsidP="00DE0F74">
      <w:pPr>
        <w:jc w:val="center"/>
        <w:rPr>
          <w:b/>
          <w:sz w:val="20"/>
          <w:szCs w:val="20"/>
        </w:rPr>
      </w:pPr>
      <w:r w:rsidRPr="00DE0F74">
        <w:rPr>
          <w:b/>
          <w:sz w:val="20"/>
          <w:szCs w:val="20"/>
        </w:rPr>
        <w:t>Član 6.</w:t>
      </w:r>
    </w:p>
    <w:p w:rsidR="00DE0F74" w:rsidRPr="00DE0F74" w:rsidRDefault="00DE0F74" w:rsidP="00DE0F74">
      <w:pPr>
        <w:jc w:val="center"/>
        <w:rPr>
          <w:b/>
          <w:sz w:val="20"/>
          <w:szCs w:val="20"/>
        </w:rPr>
      </w:pPr>
    </w:p>
    <w:p w:rsidR="00DE0F74" w:rsidRPr="00DE0F74" w:rsidRDefault="00DE0F74" w:rsidP="00DE0F74">
      <w:pPr>
        <w:ind w:firstLine="708"/>
        <w:jc w:val="both"/>
        <w:rPr>
          <w:sz w:val="20"/>
          <w:szCs w:val="20"/>
        </w:rPr>
      </w:pPr>
      <w:r w:rsidRPr="00DE0F74">
        <w:rPr>
          <w:sz w:val="20"/>
          <w:szCs w:val="20"/>
        </w:rPr>
        <w:t>Rok izrade izmjene Plana, kao i vrijeme potrebno za održavanje javnog uvida i javne rasprave, bit će definisani nakon sprovedenog postupka za odabir Nosioca izrade Plana.</w:t>
      </w:r>
    </w:p>
    <w:p w:rsidR="00DE0F74" w:rsidRPr="00DE0F74" w:rsidRDefault="00DE0F74" w:rsidP="00DE0F74">
      <w:pPr>
        <w:jc w:val="both"/>
        <w:rPr>
          <w:sz w:val="20"/>
          <w:szCs w:val="20"/>
        </w:rPr>
      </w:pPr>
    </w:p>
    <w:p w:rsidR="00DE0F74" w:rsidRDefault="00DE0F74" w:rsidP="00DE0F74">
      <w:pPr>
        <w:jc w:val="center"/>
        <w:rPr>
          <w:b/>
          <w:sz w:val="20"/>
          <w:szCs w:val="20"/>
        </w:rPr>
      </w:pPr>
      <w:r w:rsidRPr="00DE0F74">
        <w:rPr>
          <w:b/>
          <w:sz w:val="20"/>
          <w:szCs w:val="20"/>
        </w:rPr>
        <w:t>Član 7.</w:t>
      </w:r>
    </w:p>
    <w:p w:rsidR="00DE0F74" w:rsidRPr="00DE0F74" w:rsidRDefault="00DE0F74" w:rsidP="00DE0F74">
      <w:pPr>
        <w:jc w:val="center"/>
        <w:rPr>
          <w:b/>
          <w:sz w:val="20"/>
          <w:szCs w:val="20"/>
        </w:rPr>
      </w:pPr>
    </w:p>
    <w:p w:rsidR="00DE0F74" w:rsidRPr="00DE0F74" w:rsidRDefault="00DE0F74" w:rsidP="00DE0F74">
      <w:pPr>
        <w:ind w:firstLine="708"/>
        <w:jc w:val="both"/>
        <w:rPr>
          <w:sz w:val="20"/>
          <w:szCs w:val="20"/>
        </w:rPr>
      </w:pPr>
      <w:r w:rsidRPr="00DE0F74">
        <w:rPr>
          <w:sz w:val="20"/>
          <w:szCs w:val="20"/>
        </w:rPr>
        <w:t>Sredstva za izradu Plana će se obezbjediti iz budžeta Općine Travnik i to iz dijela predviđenog za naknadu po osnovu rente, namjenski predviđena za izradu prostorno-planske dokumentacije, shodno važećim zakonima (Zakon o prostornom uređenju i Zakon o građevinskom zemljištu) i općinskim odlukama (Odluka o građevinskom zemljištu i Odluka o naknadi za korištenje građevinskog zemljišta).</w:t>
      </w:r>
    </w:p>
    <w:p w:rsidR="00DE0F74" w:rsidRPr="00DE0F74" w:rsidRDefault="00DE0F74" w:rsidP="00DE0F74">
      <w:pPr>
        <w:jc w:val="both"/>
        <w:rPr>
          <w:sz w:val="20"/>
          <w:szCs w:val="20"/>
        </w:rPr>
      </w:pPr>
    </w:p>
    <w:p w:rsidR="00DE0F74" w:rsidRDefault="00DE0F74" w:rsidP="00DE0F74">
      <w:pPr>
        <w:jc w:val="center"/>
        <w:rPr>
          <w:b/>
          <w:sz w:val="20"/>
          <w:szCs w:val="20"/>
        </w:rPr>
      </w:pPr>
      <w:r w:rsidRPr="00DE0F74">
        <w:rPr>
          <w:b/>
          <w:sz w:val="20"/>
          <w:szCs w:val="20"/>
        </w:rPr>
        <w:t>Član 8.</w:t>
      </w:r>
    </w:p>
    <w:p w:rsidR="00DE0F74" w:rsidRPr="00DE0F74" w:rsidRDefault="00DE0F74" w:rsidP="00DE0F74">
      <w:pPr>
        <w:jc w:val="center"/>
        <w:rPr>
          <w:b/>
          <w:sz w:val="20"/>
          <w:szCs w:val="20"/>
        </w:rPr>
      </w:pPr>
    </w:p>
    <w:p w:rsidR="00DE0F74" w:rsidRPr="00DE0F74" w:rsidRDefault="00DE0F74" w:rsidP="00DE0F74">
      <w:pPr>
        <w:ind w:firstLine="708"/>
        <w:jc w:val="both"/>
        <w:rPr>
          <w:sz w:val="20"/>
          <w:szCs w:val="20"/>
        </w:rPr>
      </w:pPr>
      <w:r w:rsidRPr="00DE0F74">
        <w:rPr>
          <w:sz w:val="20"/>
          <w:szCs w:val="20"/>
        </w:rPr>
        <w:t>Nosilac pripreme izrade Plana je Općinska Služba za urbanizam, građenje, katastar i imovinsko-pravne poslove, koja će koordinirati rad subjekata planiranja, usaglašavati pojedine faze iz programa rada na pripremi, izradi i donošenju Plana, razmatrati radne materijale i davati prijedloge i primjedbe, informisati javnost o toku aktivnosti, organizovati javni uvid i javnu raspravu.</w:t>
      </w:r>
    </w:p>
    <w:p w:rsidR="00DE0F74" w:rsidRPr="00DE0F74" w:rsidRDefault="00DE0F74" w:rsidP="00DE0F74">
      <w:pPr>
        <w:jc w:val="both"/>
        <w:rPr>
          <w:sz w:val="20"/>
          <w:szCs w:val="20"/>
        </w:rPr>
      </w:pPr>
    </w:p>
    <w:p w:rsidR="00DE0F74" w:rsidRDefault="00DE0F74" w:rsidP="00DE0F74">
      <w:pPr>
        <w:jc w:val="center"/>
        <w:rPr>
          <w:b/>
          <w:sz w:val="20"/>
          <w:szCs w:val="20"/>
        </w:rPr>
      </w:pPr>
      <w:r w:rsidRPr="00DE0F74">
        <w:rPr>
          <w:b/>
          <w:sz w:val="20"/>
          <w:szCs w:val="20"/>
        </w:rPr>
        <w:t>Član 10.</w:t>
      </w:r>
    </w:p>
    <w:p w:rsidR="00DE0F74" w:rsidRPr="00DE0F74" w:rsidRDefault="00DE0F74" w:rsidP="00DE0F74">
      <w:pPr>
        <w:jc w:val="center"/>
        <w:rPr>
          <w:b/>
          <w:sz w:val="20"/>
          <w:szCs w:val="20"/>
        </w:rPr>
      </w:pPr>
    </w:p>
    <w:p w:rsidR="00DE0F74" w:rsidRPr="00DE0F74" w:rsidRDefault="00DE0F74" w:rsidP="00DE0F74">
      <w:pPr>
        <w:ind w:firstLine="708"/>
        <w:jc w:val="both"/>
        <w:rPr>
          <w:sz w:val="20"/>
          <w:szCs w:val="20"/>
        </w:rPr>
      </w:pPr>
      <w:r w:rsidRPr="00DE0F74">
        <w:rPr>
          <w:sz w:val="20"/>
          <w:szCs w:val="20"/>
        </w:rPr>
        <w:t>Nosilac izrade Regulacionog plana radno-poslovne zone „Polje„ će se odabrati u skladu sa  Zakonom o prostornom uređenju i Uredbom o jedinstvenoj metodologiji za izradu dokumenata prostornog uređenja.</w:t>
      </w:r>
    </w:p>
    <w:p w:rsidR="00DE0F74" w:rsidRPr="00DE0F74" w:rsidRDefault="00DE0F74" w:rsidP="00DE0F74">
      <w:pPr>
        <w:rPr>
          <w:sz w:val="20"/>
          <w:szCs w:val="20"/>
        </w:rPr>
      </w:pPr>
    </w:p>
    <w:p w:rsidR="00DE0F74" w:rsidRDefault="00DE0F74" w:rsidP="00DE0F74">
      <w:pPr>
        <w:jc w:val="center"/>
        <w:rPr>
          <w:b/>
          <w:sz w:val="20"/>
          <w:szCs w:val="20"/>
        </w:rPr>
      </w:pPr>
      <w:r w:rsidRPr="00DE0F74">
        <w:rPr>
          <w:b/>
          <w:sz w:val="20"/>
          <w:szCs w:val="20"/>
        </w:rPr>
        <w:t xml:space="preserve">Član </w:t>
      </w:r>
      <w:r w:rsidR="00500B84">
        <w:rPr>
          <w:b/>
          <w:sz w:val="20"/>
          <w:szCs w:val="20"/>
        </w:rPr>
        <w:t>11</w:t>
      </w:r>
      <w:r w:rsidRPr="00DE0F74">
        <w:rPr>
          <w:b/>
          <w:sz w:val="20"/>
          <w:szCs w:val="20"/>
        </w:rPr>
        <w:t>.</w:t>
      </w:r>
    </w:p>
    <w:p w:rsidR="00DE0F74" w:rsidRPr="00DE0F74" w:rsidRDefault="00DE0F74" w:rsidP="00DE0F74">
      <w:pPr>
        <w:jc w:val="center"/>
        <w:rPr>
          <w:b/>
          <w:sz w:val="20"/>
          <w:szCs w:val="20"/>
        </w:rPr>
      </w:pPr>
    </w:p>
    <w:p w:rsidR="00DE0F74" w:rsidRDefault="00DE0F74" w:rsidP="00DE0F74">
      <w:pPr>
        <w:ind w:firstLine="708"/>
        <w:jc w:val="both"/>
        <w:rPr>
          <w:sz w:val="20"/>
          <w:szCs w:val="20"/>
        </w:rPr>
      </w:pPr>
      <w:r w:rsidRPr="00DE0F74">
        <w:rPr>
          <w:sz w:val="20"/>
          <w:szCs w:val="20"/>
        </w:rPr>
        <w:t xml:space="preserve">Nosilac izrade Plana je u obavezi izraditi Plan u skladu sa odredbama Zakona o prostornom uređenju, Uredbom o jedinstvenoj metodologiji za izradu dokumenata prostornog uređenja, te u skladu sa odredbama ove Odluke. </w:t>
      </w:r>
    </w:p>
    <w:p w:rsidR="00DE0F74" w:rsidRPr="00DE0F74" w:rsidRDefault="00DE0F74" w:rsidP="00DE0F74">
      <w:pPr>
        <w:ind w:firstLine="708"/>
        <w:jc w:val="both"/>
        <w:rPr>
          <w:sz w:val="20"/>
          <w:szCs w:val="20"/>
        </w:rPr>
      </w:pPr>
    </w:p>
    <w:p w:rsidR="00DE0F74" w:rsidRPr="00DE0F74" w:rsidRDefault="00DE0F74" w:rsidP="00DE0F74">
      <w:pPr>
        <w:ind w:firstLine="708"/>
        <w:jc w:val="both"/>
        <w:rPr>
          <w:sz w:val="20"/>
          <w:szCs w:val="20"/>
        </w:rPr>
      </w:pPr>
      <w:r w:rsidRPr="00DE0F74">
        <w:rPr>
          <w:sz w:val="20"/>
          <w:szCs w:val="20"/>
        </w:rPr>
        <w:t>Neophodni sadržaji Plana su grafički prilozi, tekstualni dio sa obrazloženjem koncepta i Odluka o provođenju Plana.</w:t>
      </w:r>
    </w:p>
    <w:p w:rsidR="00DE0F74" w:rsidRPr="00DE0F74" w:rsidRDefault="00DE0F74" w:rsidP="00DE0F74">
      <w:pPr>
        <w:jc w:val="both"/>
        <w:rPr>
          <w:sz w:val="20"/>
          <w:szCs w:val="20"/>
        </w:rPr>
      </w:pPr>
    </w:p>
    <w:p w:rsidR="00DE0F74" w:rsidRDefault="00DE0F74" w:rsidP="00DE0F74">
      <w:pPr>
        <w:jc w:val="center"/>
        <w:rPr>
          <w:b/>
          <w:sz w:val="20"/>
          <w:szCs w:val="20"/>
        </w:rPr>
      </w:pPr>
      <w:r w:rsidRPr="00DE0F74">
        <w:rPr>
          <w:b/>
          <w:sz w:val="20"/>
          <w:szCs w:val="20"/>
        </w:rPr>
        <w:t>Član 1</w:t>
      </w:r>
      <w:r w:rsidR="00500B84">
        <w:rPr>
          <w:b/>
          <w:sz w:val="20"/>
          <w:szCs w:val="20"/>
        </w:rPr>
        <w:t>2</w:t>
      </w:r>
      <w:r w:rsidRPr="00DE0F74">
        <w:rPr>
          <w:b/>
          <w:sz w:val="20"/>
          <w:szCs w:val="20"/>
        </w:rPr>
        <w:t>.</w:t>
      </w:r>
    </w:p>
    <w:p w:rsidR="00DE0F74" w:rsidRPr="00DE0F74" w:rsidRDefault="00DE0F74" w:rsidP="00DE0F74">
      <w:pPr>
        <w:jc w:val="center"/>
        <w:rPr>
          <w:b/>
          <w:sz w:val="20"/>
          <w:szCs w:val="20"/>
        </w:rPr>
      </w:pPr>
    </w:p>
    <w:p w:rsidR="00DE0F74" w:rsidRPr="00DE0F74" w:rsidRDefault="00DE0F74" w:rsidP="00DE0F74">
      <w:pPr>
        <w:ind w:firstLine="708"/>
        <w:jc w:val="both"/>
        <w:rPr>
          <w:sz w:val="20"/>
          <w:szCs w:val="20"/>
        </w:rPr>
      </w:pPr>
      <w:r w:rsidRPr="00DE0F74">
        <w:rPr>
          <w:sz w:val="20"/>
          <w:szCs w:val="20"/>
        </w:rPr>
        <w:t>Nosilac izrade Plana je u obavezi ugraditi opravdane primjedbe, prijedloge i sugestije date u toku javnog uvida i javne rasprave u svim fazama izrade Plana, kao i obrazložiti, u fazi usvajanja Prijedloga Plana, primjedbe koje se nisu mogle usvojiti.</w:t>
      </w:r>
    </w:p>
    <w:p w:rsidR="00DE0F74" w:rsidRDefault="00DE0F74" w:rsidP="00DE0F74">
      <w:pPr>
        <w:rPr>
          <w:b/>
          <w:sz w:val="20"/>
          <w:szCs w:val="20"/>
        </w:rPr>
      </w:pPr>
    </w:p>
    <w:p w:rsidR="00DE0F74" w:rsidRDefault="00DE0F74" w:rsidP="00DE0F74">
      <w:pPr>
        <w:rPr>
          <w:b/>
          <w:sz w:val="20"/>
          <w:szCs w:val="20"/>
        </w:rPr>
      </w:pPr>
    </w:p>
    <w:p w:rsidR="00DE0F74" w:rsidRDefault="00DE0F74" w:rsidP="00DE0F74">
      <w:pPr>
        <w:rPr>
          <w:b/>
          <w:sz w:val="20"/>
          <w:szCs w:val="20"/>
        </w:rPr>
      </w:pPr>
    </w:p>
    <w:p w:rsidR="00DE0F74" w:rsidRPr="00DE0F74" w:rsidRDefault="00DE0F74" w:rsidP="00DE0F74">
      <w:pPr>
        <w:rPr>
          <w:b/>
          <w:sz w:val="20"/>
          <w:szCs w:val="20"/>
        </w:rPr>
      </w:pPr>
    </w:p>
    <w:p w:rsidR="00DE0F74" w:rsidRDefault="00DE0F74" w:rsidP="00DE0F74">
      <w:pPr>
        <w:jc w:val="center"/>
        <w:rPr>
          <w:b/>
          <w:sz w:val="20"/>
          <w:szCs w:val="20"/>
        </w:rPr>
      </w:pPr>
      <w:r w:rsidRPr="00DE0F74">
        <w:rPr>
          <w:b/>
          <w:sz w:val="20"/>
          <w:szCs w:val="20"/>
        </w:rPr>
        <w:lastRenderedPageBreak/>
        <w:t>Član 1</w:t>
      </w:r>
      <w:r w:rsidR="00500B84">
        <w:rPr>
          <w:b/>
          <w:sz w:val="20"/>
          <w:szCs w:val="20"/>
        </w:rPr>
        <w:t>3</w:t>
      </w:r>
      <w:r w:rsidRPr="00DE0F74">
        <w:rPr>
          <w:b/>
          <w:sz w:val="20"/>
          <w:szCs w:val="20"/>
        </w:rPr>
        <w:t>.</w:t>
      </w:r>
    </w:p>
    <w:p w:rsidR="00DE0F74" w:rsidRPr="00DE0F74" w:rsidRDefault="00DE0F74" w:rsidP="00DE0F74">
      <w:pPr>
        <w:jc w:val="center"/>
        <w:rPr>
          <w:b/>
          <w:sz w:val="20"/>
          <w:szCs w:val="20"/>
        </w:rPr>
      </w:pPr>
    </w:p>
    <w:p w:rsidR="00DE0F74" w:rsidRPr="00DE0F74" w:rsidRDefault="00DE0F74" w:rsidP="00DE0F74">
      <w:pPr>
        <w:ind w:firstLine="708"/>
        <w:jc w:val="both"/>
        <w:rPr>
          <w:noProof w:val="0"/>
          <w:sz w:val="20"/>
          <w:szCs w:val="20"/>
        </w:rPr>
      </w:pPr>
      <w:r w:rsidRPr="00DE0F74">
        <w:rPr>
          <w:noProof w:val="0"/>
          <w:sz w:val="20"/>
          <w:szCs w:val="20"/>
        </w:rPr>
        <w:t>Ova Odluka stupa na snagu danom donošenja, a objavit će se u "Službenim Novinama Općine Travnik".</w:t>
      </w:r>
    </w:p>
    <w:p w:rsidR="00DE0F74" w:rsidRPr="00DE0F74" w:rsidRDefault="00DE0F74" w:rsidP="00DE0F74">
      <w:pPr>
        <w:rPr>
          <w:noProof w:val="0"/>
          <w:sz w:val="20"/>
          <w:szCs w:val="20"/>
        </w:rPr>
      </w:pPr>
    </w:p>
    <w:p w:rsidR="00DE0F74" w:rsidRDefault="00DE0F74" w:rsidP="00DE0F74">
      <w:pPr>
        <w:rPr>
          <w:noProof w:val="0"/>
        </w:rPr>
      </w:pPr>
    </w:p>
    <w:p w:rsidR="00500B84" w:rsidRPr="00F45FD4" w:rsidRDefault="00500B84" w:rsidP="00500B84">
      <w:pPr>
        <w:rPr>
          <w:b/>
          <w:noProof w:val="0"/>
          <w:sz w:val="20"/>
          <w:szCs w:val="20"/>
        </w:rPr>
      </w:pPr>
      <w:r w:rsidRPr="00F45FD4">
        <w:rPr>
          <w:noProof w:val="0"/>
          <w:sz w:val="20"/>
          <w:szCs w:val="20"/>
        </w:rPr>
        <w:t>Broj:</w:t>
      </w:r>
      <w:r w:rsidR="008068E2">
        <w:rPr>
          <w:noProof w:val="0"/>
          <w:sz w:val="20"/>
          <w:szCs w:val="20"/>
        </w:rPr>
        <w:t>01-1-1-4-63</w:t>
      </w:r>
      <w:r>
        <w:rPr>
          <w:noProof w:val="0"/>
          <w:sz w:val="20"/>
          <w:szCs w:val="20"/>
        </w:rPr>
        <w:t>/09</w:t>
      </w:r>
      <w:r w:rsidRPr="00F45FD4">
        <w:rPr>
          <w:noProof w:val="0"/>
          <w:sz w:val="20"/>
          <w:szCs w:val="20"/>
        </w:rPr>
        <w:tab/>
      </w:r>
      <w:r w:rsidRPr="00F45FD4">
        <w:rPr>
          <w:noProof w:val="0"/>
          <w:sz w:val="20"/>
          <w:szCs w:val="20"/>
        </w:rPr>
        <w:tab/>
      </w:r>
      <w:r w:rsidRPr="00F45FD4">
        <w:rPr>
          <w:noProof w:val="0"/>
          <w:sz w:val="20"/>
          <w:szCs w:val="20"/>
        </w:rPr>
        <w:tab/>
        <w:t xml:space="preserve">   </w:t>
      </w:r>
      <w:r>
        <w:rPr>
          <w:noProof w:val="0"/>
          <w:sz w:val="20"/>
          <w:szCs w:val="20"/>
        </w:rPr>
        <w:t xml:space="preserve">                                    </w:t>
      </w:r>
      <w:r w:rsidR="008068E2">
        <w:rPr>
          <w:noProof w:val="0"/>
          <w:sz w:val="20"/>
          <w:szCs w:val="20"/>
        </w:rPr>
        <w:t xml:space="preserve">        </w:t>
      </w:r>
      <w:r>
        <w:rPr>
          <w:noProof w:val="0"/>
          <w:sz w:val="20"/>
          <w:szCs w:val="20"/>
        </w:rPr>
        <w:t xml:space="preserve">     </w:t>
      </w:r>
      <w:r w:rsidRPr="00F45FD4">
        <w:rPr>
          <w:b/>
          <w:noProof w:val="0"/>
          <w:sz w:val="20"/>
          <w:szCs w:val="20"/>
        </w:rPr>
        <w:t>PREDSJEDA</w:t>
      </w:r>
      <w:r w:rsidR="00723645">
        <w:rPr>
          <w:b/>
          <w:noProof w:val="0"/>
          <w:sz w:val="20"/>
          <w:szCs w:val="20"/>
        </w:rPr>
        <w:t>VAJUĆI</w:t>
      </w:r>
    </w:p>
    <w:p w:rsidR="00500B84" w:rsidRDefault="00723645" w:rsidP="00500B84">
      <w:pPr>
        <w:rPr>
          <w:b/>
          <w:noProof w:val="0"/>
          <w:sz w:val="20"/>
          <w:szCs w:val="20"/>
        </w:rPr>
      </w:pPr>
      <w:r>
        <w:rPr>
          <w:noProof w:val="0"/>
          <w:sz w:val="20"/>
          <w:szCs w:val="20"/>
        </w:rPr>
        <w:t>Datum</w:t>
      </w:r>
      <w:r w:rsidR="00500B84" w:rsidRPr="00F45FD4">
        <w:rPr>
          <w:noProof w:val="0"/>
          <w:sz w:val="20"/>
          <w:szCs w:val="20"/>
        </w:rPr>
        <w:t>:</w:t>
      </w:r>
      <w:r w:rsidR="00500B84">
        <w:rPr>
          <w:noProof w:val="0"/>
          <w:sz w:val="20"/>
          <w:szCs w:val="20"/>
        </w:rPr>
        <w:t>10.02.2009.godine</w:t>
      </w:r>
      <w:r w:rsidR="00500B84" w:rsidRPr="00F45FD4">
        <w:rPr>
          <w:noProof w:val="0"/>
          <w:sz w:val="20"/>
          <w:szCs w:val="20"/>
        </w:rPr>
        <w:tab/>
      </w:r>
      <w:r w:rsidR="00500B84" w:rsidRPr="00F45FD4">
        <w:rPr>
          <w:noProof w:val="0"/>
          <w:sz w:val="20"/>
          <w:szCs w:val="20"/>
        </w:rPr>
        <w:tab/>
      </w:r>
      <w:r w:rsidR="00500B84" w:rsidRPr="00F45FD4">
        <w:rPr>
          <w:b/>
          <w:noProof w:val="0"/>
          <w:sz w:val="20"/>
          <w:szCs w:val="20"/>
        </w:rPr>
        <w:tab/>
      </w:r>
      <w:r w:rsidR="00500B84" w:rsidRPr="00F45FD4">
        <w:rPr>
          <w:b/>
          <w:noProof w:val="0"/>
          <w:sz w:val="20"/>
          <w:szCs w:val="20"/>
        </w:rPr>
        <w:tab/>
      </w:r>
      <w:r w:rsidR="00500B84" w:rsidRPr="00F45FD4">
        <w:rPr>
          <w:b/>
          <w:noProof w:val="0"/>
          <w:sz w:val="20"/>
          <w:szCs w:val="20"/>
        </w:rPr>
        <w:tab/>
      </w:r>
      <w:r w:rsidR="00500B84">
        <w:rPr>
          <w:b/>
          <w:noProof w:val="0"/>
          <w:sz w:val="20"/>
          <w:szCs w:val="20"/>
        </w:rPr>
        <w:t xml:space="preserve">        OPĆINSKOG VIJEĆA TRAVNIK</w:t>
      </w:r>
    </w:p>
    <w:p w:rsidR="00500B84" w:rsidRPr="00F45FD4" w:rsidRDefault="00500B84" w:rsidP="00500B84">
      <w:pPr>
        <w:rPr>
          <w:b/>
          <w:noProof w:val="0"/>
          <w:sz w:val="20"/>
          <w:szCs w:val="20"/>
        </w:rPr>
      </w:pPr>
    </w:p>
    <w:p w:rsidR="00500B84" w:rsidRPr="00F45FD4" w:rsidRDefault="00500B84" w:rsidP="00500B84">
      <w:pPr>
        <w:rPr>
          <w:b/>
          <w:i/>
          <w:noProof w:val="0"/>
          <w:sz w:val="20"/>
          <w:szCs w:val="20"/>
        </w:rPr>
      </w:pPr>
      <w:r>
        <w:rPr>
          <w:b/>
          <w:noProof w:val="0"/>
          <w:sz w:val="20"/>
          <w:szCs w:val="20"/>
        </w:rPr>
        <w:t>Travnik</w:t>
      </w:r>
      <w:r w:rsidRPr="00F45FD4">
        <w:rPr>
          <w:b/>
          <w:noProof w:val="0"/>
          <w:sz w:val="20"/>
          <w:szCs w:val="20"/>
        </w:rPr>
        <w:tab/>
      </w:r>
      <w:r w:rsidRPr="00F45FD4">
        <w:rPr>
          <w:b/>
          <w:noProof w:val="0"/>
          <w:sz w:val="20"/>
          <w:szCs w:val="20"/>
        </w:rPr>
        <w:tab/>
      </w:r>
      <w:r w:rsidRPr="00F45FD4">
        <w:rPr>
          <w:b/>
          <w:noProof w:val="0"/>
          <w:sz w:val="20"/>
          <w:szCs w:val="20"/>
        </w:rPr>
        <w:tab/>
      </w:r>
      <w:r w:rsidRPr="00F45FD4">
        <w:rPr>
          <w:b/>
          <w:noProof w:val="0"/>
          <w:sz w:val="20"/>
          <w:szCs w:val="20"/>
        </w:rPr>
        <w:tab/>
      </w:r>
      <w:r w:rsidRPr="00F45FD4">
        <w:rPr>
          <w:b/>
          <w:noProof w:val="0"/>
          <w:sz w:val="20"/>
          <w:szCs w:val="20"/>
        </w:rPr>
        <w:tab/>
      </w:r>
      <w:r w:rsidRPr="00F45FD4">
        <w:rPr>
          <w:b/>
          <w:noProof w:val="0"/>
          <w:sz w:val="20"/>
          <w:szCs w:val="20"/>
        </w:rPr>
        <w:tab/>
      </w:r>
      <w:r w:rsidRPr="00F45FD4">
        <w:rPr>
          <w:b/>
          <w:noProof w:val="0"/>
          <w:sz w:val="20"/>
          <w:szCs w:val="20"/>
        </w:rPr>
        <w:tab/>
      </w:r>
      <w:r w:rsidRPr="00F45FD4">
        <w:rPr>
          <w:b/>
          <w:i/>
          <w:noProof w:val="0"/>
          <w:sz w:val="20"/>
          <w:szCs w:val="20"/>
        </w:rPr>
        <w:t xml:space="preserve">                     Ljupko Sučić</w:t>
      </w:r>
      <w:r w:rsidR="008068E2">
        <w:rPr>
          <w:b/>
          <w:i/>
          <w:noProof w:val="0"/>
          <w:sz w:val="20"/>
          <w:szCs w:val="20"/>
        </w:rPr>
        <w:t>,s.r.</w:t>
      </w:r>
    </w:p>
    <w:p w:rsidR="00DE0F74" w:rsidRDefault="00DE0F74" w:rsidP="00DE0F74">
      <w:pPr>
        <w:rPr>
          <w:b/>
          <w:noProof w:val="0"/>
        </w:rPr>
      </w:pPr>
    </w:p>
    <w:p w:rsidR="00DE0F74" w:rsidRDefault="00DE0F74" w:rsidP="00DE0F74">
      <w:pPr>
        <w:rPr>
          <w:b/>
          <w:noProof w:val="0"/>
        </w:rPr>
      </w:pPr>
    </w:p>
    <w:p w:rsidR="00DE0F74" w:rsidRDefault="00DE0F74" w:rsidP="00DE0F74">
      <w:pPr>
        <w:rPr>
          <w:b/>
          <w:noProof w:val="0"/>
        </w:rPr>
      </w:pPr>
    </w:p>
    <w:p w:rsidR="00DE0F74" w:rsidRDefault="00DE0F74" w:rsidP="00DE0F74">
      <w:pPr>
        <w:rPr>
          <w:b/>
          <w:noProof w:val="0"/>
        </w:rPr>
      </w:pPr>
    </w:p>
    <w:p w:rsidR="00DE0F74" w:rsidRDefault="00DE0F74" w:rsidP="00DE0F74">
      <w:pPr>
        <w:rPr>
          <w:b/>
          <w:noProof w:val="0"/>
        </w:rPr>
      </w:pPr>
    </w:p>
    <w:p w:rsidR="00DE0F74" w:rsidRDefault="00DE0F74" w:rsidP="00DE0F74">
      <w:pPr>
        <w:rPr>
          <w:b/>
          <w:noProof w:val="0"/>
        </w:rPr>
      </w:pPr>
    </w:p>
    <w:p w:rsidR="006E5119" w:rsidRDefault="006E5119" w:rsidP="00DE0F74"/>
    <w:sectPr w:rsidR="006E5119" w:rsidSect="009D4F3A">
      <w:footerReference w:type="default" r:id="rId7"/>
      <w:pgSz w:w="11906" w:h="16838"/>
      <w:pgMar w:top="1701"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42EA" w:rsidRDefault="002742EA" w:rsidP="00723645">
      <w:r>
        <w:separator/>
      </w:r>
    </w:p>
  </w:endnote>
  <w:endnote w:type="continuationSeparator" w:id="1">
    <w:p w:rsidR="002742EA" w:rsidRDefault="002742EA" w:rsidP="007236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4D Gothic">
    <w:altName w:val="Courier New"/>
    <w:charset w:val="00"/>
    <w:family w:val="swiss"/>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sz w:val="18"/>
        <w:szCs w:val="18"/>
      </w:rPr>
      <w:id w:val="9470770"/>
      <w:docPartObj>
        <w:docPartGallery w:val="Page Numbers (Bottom of Page)"/>
        <w:docPartUnique/>
      </w:docPartObj>
    </w:sdtPr>
    <w:sdtContent>
      <w:sdt>
        <w:sdtPr>
          <w:rPr>
            <w:color w:val="808080" w:themeColor="background1" w:themeShade="80"/>
            <w:sz w:val="18"/>
            <w:szCs w:val="18"/>
          </w:rPr>
          <w:id w:val="565050523"/>
          <w:docPartObj>
            <w:docPartGallery w:val="Page Numbers (Top of Page)"/>
            <w:docPartUnique/>
          </w:docPartObj>
        </w:sdtPr>
        <w:sdtContent>
          <w:p w:rsidR="00723645" w:rsidRPr="00723645" w:rsidRDefault="00723645">
            <w:pPr>
              <w:pStyle w:val="Footer"/>
              <w:jc w:val="right"/>
              <w:rPr>
                <w:color w:val="808080" w:themeColor="background1" w:themeShade="80"/>
                <w:sz w:val="18"/>
                <w:szCs w:val="18"/>
              </w:rPr>
            </w:pPr>
            <w:r w:rsidRPr="00723645">
              <w:rPr>
                <w:color w:val="808080" w:themeColor="background1" w:themeShade="80"/>
                <w:sz w:val="18"/>
                <w:szCs w:val="18"/>
              </w:rPr>
              <w:t xml:space="preserve">Strana </w:t>
            </w:r>
            <w:r w:rsidR="002078A8" w:rsidRPr="00723645">
              <w:rPr>
                <w:b/>
                <w:color w:val="808080" w:themeColor="background1" w:themeShade="80"/>
                <w:sz w:val="18"/>
                <w:szCs w:val="18"/>
              </w:rPr>
              <w:fldChar w:fldCharType="begin"/>
            </w:r>
            <w:r w:rsidRPr="00723645">
              <w:rPr>
                <w:b/>
                <w:color w:val="808080" w:themeColor="background1" w:themeShade="80"/>
                <w:sz w:val="18"/>
                <w:szCs w:val="18"/>
              </w:rPr>
              <w:instrText xml:space="preserve"> PAGE </w:instrText>
            </w:r>
            <w:r w:rsidR="002078A8" w:rsidRPr="00723645">
              <w:rPr>
                <w:b/>
                <w:color w:val="808080" w:themeColor="background1" w:themeShade="80"/>
                <w:sz w:val="18"/>
                <w:szCs w:val="18"/>
              </w:rPr>
              <w:fldChar w:fldCharType="separate"/>
            </w:r>
            <w:r w:rsidR="00806FD5">
              <w:rPr>
                <w:b/>
                <w:color w:val="808080" w:themeColor="background1" w:themeShade="80"/>
                <w:sz w:val="18"/>
                <w:szCs w:val="18"/>
              </w:rPr>
              <w:t>1</w:t>
            </w:r>
            <w:r w:rsidR="002078A8" w:rsidRPr="00723645">
              <w:rPr>
                <w:b/>
                <w:color w:val="808080" w:themeColor="background1" w:themeShade="80"/>
                <w:sz w:val="18"/>
                <w:szCs w:val="18"/>
              </w:rPr>
              <w:fldChar w:fldCharType="end"/>
            </w:r>
            <w:r w:rsidRPr="00723645">
              <w:rPr>
                <w:color w:val="808080" w:themeColor="background1" w:themeShade="80"/>
                <w:sz w:val="18"/>
                <w:szCs w:val="18"/>
              </w:rPr>
              <w:t xml:space="preserve"> od </w:t>
            </w:r>
            <w:r w:rsidR="002078A8" w:rsidRPr="00723645">
              <w:rPr>
                <w:b/>
                <w:color w:val="808080" w:themeColor="background1" w:themeShade="80"/>
                <w:sz w:val="18"/>
                <w:szCs w:val="18"/>
              </w:rPr>
              <w:fldChar w:fldCharType="begin"/>
            </w:r>
            <w:r w:rsidRPr="00723645">
              <w:rPr>
                <w:b/>
                <w:color w:val="808080" w:themeColor="background1" w:themeShade="80"/>
                <w:sz w:val="18"/>
                <w:szCs w:val="18"/>
              </w:rPr>
              <w:instrText xml:space="preserve"> NUMPAGES  </w:instrText>
            </w:r>
            <w:r w:rsidR="002078A8" w:rsidRPr="00723645">
              <w:rPr>
                <w:b/>
                <w:color w:val="808080" w:themeColor="background1" w:themeShade="80"/>
                <w:sz w:val="18"/>
                <w:szCs w:val="18"/>
              </w:rPr>
              <w:fldChar w:fldCharType="separate"/>
            </w:r>
            <w:r w:rsidR="00806FD5">
              <w:rPr>
                <w:b/>
                <w:color w:val="808080" w:themeColor="background1" w:themeShade="80"/>
                <w:sz w:val="18"/>
                <w:szCs w:val="18"/>
              </w:rPr>
              <w:t>4</w:t>
            </w:r>
            <w:r w:rsidR="002078A8" w:rsidRPr="00723645">
              <w:rPr>
                <w:b/>
                <w:color w:val="808080" w:themeColor="background1" w:themeShade="80"/>
                <w:sz w:val="18"/>
                <w:szCs w:val="18"/>
              </w:rPr>
              <w:fldChar w:fldCharType="end"/>
            </w:r>
          </w:p>
        </w:sdtContent>
      </w:sdt>
    </w:sdtContent>
  </w:sdt>
  <w:p w:rsidR="00723645" w:rsidRPr="00723645" w:rsidRDefault="00723645">
    <w:pPr>
      <w:pStyle w:val="Footer"/>
      <w:rPr>
        <w:color w:val="808080" w:themeColor="background1" w:themeShade="80"/>
        <w:sz w:val="18"/>
        <w:szCs w:val="18"/>
      </w:rPr>
    </w:pPr>
    <w:r w:rsidRPr="00723645">
      <w:rPr>
        <w:color w:val="808080" w:themeColor="background1" w:themeShade="80"/>
        <w:sz w:val="18"/>
        <w:szCs w:val="18"/>
      </w:rPr>
      <w:t>OB 009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42EA" w:rsidRDefault="002742EA" w:rsidP="00723645">
      <w:r>
        <w:separator/>
      </w:r>
    </w:p>
  </w:footnote>
  <w:footnote w:type="continuationSeparator" w:id="1">
    <w:p w:rsidR="002742EA" w:rsidRDefault="002742EA" w:rsidP="007236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8F68DF"/>
    <w:multiLevelType w:val="hybridMultilevel"/>
    <w:tmpl w:val="E12E4932"/>
    <w:lvl w:ilvl="0" w:tplc="71AC5CE6">
      <w:start w:val="1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339C3569"/>
    <w:multiLevelType w:val="hybridMultilevel"/>
    <w:tmpl w:val="34E6B360"/>
    <w:lvl w:ilvl="0" w:tplc="71AC5CE6">
      <w:start w:val="1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524F749B"/>
    <w:multiLevelType w:val="hybridMultilevel"/>
    <w:tmpl w:val="60F878A2"/>
    <w:lvl w:ilvl="0" w:tplc="7702E916">
      <w:numFmt w:val="bullet"/>
      <w:lvlText w:val="–"/>
      <w:lvlJc w:val="left"/>
      <w:pPr>
        <w:ind w:left="720" w:hanging="360"/>
      </w:pPr>
      <w:rPr>
        <w:rFonts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DE0F74"/>
    <w:rsid w:val="00056898"/>
    <w:rsid w:val="000D3430"/>
    <w:rsid w:val="001730D8"/>
    <w:rsid w:val="002078A8"/>
    <w:rsid w:val="002742EA"/>
    <w:rsid w:val="002F4BD8"/>
    <w:rsid w:val="0031593A"/>
    <w:rsid w:val="00472065"/>
    <w:rsid w:val="004D0260"/>
    <w:rsid w:val="00500B84"/>
    <w:rsid w:val="005C5D54"/>
    <w:rsid w:val="00627D67"/>
    <w:rsid w:val="00633D69"/>
    <w:rsid w:val="00651855"/>
    <w:rsid w:val="006E5119"/>
    <w:rsid w:val="00723645"/>
    <w:rsid w:val="007A7296"/>
    <w:rsid w:val="008068E2"/>
    <w:rsid w:val="00806FD5"/>
    <w:rsid w:val="008A552F"/>
    <w:rsid w:val="009B0840"/>
    <w:rsid w:val="009C3530"/>
    <w:rsid w:val="00B05243"/>
    <w:rsid w:val="00D45D18"/>
    <w:rsid w:val="00DE0F74"/>
    <w:rsid w:val="00E54C74"/>
    <w:rsid w:val="00E54E18"/>
    <w:rsid w:val="00EA1E5B"/>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18"/>
        <w:szCs w:val="24"/>
        <w:lang w:val="hr-HR" w:eastAsia="en-US" w:bidi="ar-SA"/>
      </w:rPr>
    </w:rPrDefault>
    <w:pPrDefault>
      <w:pPr>
        <w:spacing w:before="120" w:after="120"/>
        <w:ind w:left="1701" w:right="170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F74"/>
    <w:pPr>
      <w:spacing w:before="0" w:after="0"/>
      <w:ind w:left="0" w:right="0"/>
      <w:jc w:val="left"/>
    </w:pPr>
    <w:rPr>
      <w:rFonts w:ascii="Arial" w:eastAsia="Times New Roman" w:hAnsi="Arial"/>
      <w:bCs/>
      <w:noProo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STO">
    <w:name w:val="TESTO"/>
    <w:rsid w:val="00DE0F74"/>
    <w:pPr>
      <w:spacing w:before="0" w:after="0"/>
      <w:ind w:left="0" w:right="0"/>
    </w:pPr>
    <w:rPr>
      <w:rFonts w:ascii="Century Gothic" w:eastAsia="Times New Roman" w:hAnsi="Century Gothic"/>
      <w:sz w:val="22"/>
      <w:szCs w:val="20"/>
      <w:lang w:val="it-IT"/>
    </w:rPr>
  </w:style>
  <w:style w:type="paragraph" w:styleId="BodyTextIndent">
    <w:name w:val="Body Text Indent"/>
    <w:basedOn w:val="Normal"/>
    <w:link w:val="BodyTextIndentChar"/>
    <w:rsid w:val="00DE0F74"/>
    <w:pPr>
      <w:tabs>
        <w:tab w:val="left" w:pos="2070"/>
      </w:tabs>
      <w:ind w:left="2070"/>
    </w:pPr>
    <w:rPr>
      <w:rFonts w:ascii="4D Gothic" w:hAnsi="4D Gothic"/>
      <w:bCs w:val="0"/>
      <w:noProof w:val="0"/>
      <w:sz w:val="24"/>
      <w:szCs w:val="20"/>
      <w:lang w:val="en-US" w:eastAsia="hr-HR"/>
    </w:rPr>
  </w:style>
  <w:style w:type="character" w:customStyle="1" w:styleId="BodyTextIndentChar">
    <w:name w:val="Body Text Indent Char"/>
    <w:basedOn w:val="DefaultParagraphFont"/>
    <w:link w:val="BodyTextIndent"/>
    <w:rsid w:val="00DE0F74"/>
    <w:rPr>
      <w:rFonts w:ascii="4D Gothic" w:eastAsia="Times New Roman" w:hAnsi="4D Gothic"/>
      <w:sz w:val="24"/>
      <w:szCs w:val="20"/>
      <w:lang w:val="en-US" w:eastAsia="hr-HR"/>
    </w:rPr>
  </w:style>
  <w:style w:type="paragraph" w:styleId="Header">
    <w:name w:val="header"/>
    <w:basedOn w:val="Normal"/>
    <w:link w:val="HeaderChar"/>
    <w:uiPriority w:val="99"/>
    <w:semiHidden/>
    <w:unhideWhenUsed/>
    <w:rsid w:val="00723645"/>
    <w:pPr>
      <w:tabs>
        <w:tab w:val="center" w:pos="4536"/>
        <w:tab w:val="right" w:pos="9072"/>
      </w:tabs>
    </w:pPr>
  </w:style>
  <w:style w:type="character" w:customStyle="1" w:styleId="HeaderChar">
    <w:name w:val="Header Char"/>
    <w:basedOn w:val="DefaultParagraphFont"/>
    <w:link w:val="Header"/>
    <w:uiPriority w:val="99"/>
    <w:semiHidden/>
    <w:rsid w:val="00723645"/>
    <w:rPr>
      <w:rFonts w:ascii="Arial" w:eastAsia="Times New Roman" w:hAnsi="Arial"/>
      <w:bCs/>
      <w:noProof/>
      <w:sz w:val="22"/>
    </w:rPr>
  </w:style>
  <w:style w:type="paragraph" w:styleId="Footer">
    <w:name w:val="footer"/>
    <w:basedOn w:val="Normal"/>
    <w:link w:val="FooterChar"/>
    <w:uiPriority w:val="99"/>
    <w:unhideWhenUsed/>
    <w:rsid w:val="00723645"/>
    <w:pPr>
      <w:tabs>
        <w:tab w:val="center" w:pos="4536"/>
        <w:tab w:val="right" w:pos="9072"/>
      </w:tabs>
    </w:pPr>
  </w:style>
  <w:style w:type="character" w:customStyle="1" w:styleId="FooterChar">
    <w:name w:val="Footer Char"/>
    <w:basedOn w:val="DefaultParagraphFont"/>
    <w:link w:val="Footer"/>
    <w:uiPriority w:val="99"/>
    <w:rsid w:val="00723645"/>
    <w:rPr>
      <w:rFonts w:ascii="Arial" w:eastAsia="Times New Roman" w:hAnsi="Arial"/>
      <w:bCs/>
      <w:noProof/>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1673</Words>
  <Characters>9542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OPCINA TRAVNIK</Company>
  <LinksUpToDate>false</LinksUpToDate>
  <CharactersWithSpaces>11193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lidijag</dc:creator>
  <cp:keywords/>
  <dc:description/>
  <cp:lastModifiedBy>lidijag</cp:lastModifiedBy>
  <cp:revision>5</cp:revision>
  <cp:lastPrinted>2010-04-19T07:19:00Z</cp:lastPrinted>
  <dcterms:created xsi:type="dcterms:W3CDTF">2009-02-12T09:41:00Z</dcterms:created>
  <dcterms:modified xsi:type="dcterms:W3CDTF">2010-04-19T08:39:00Z</dcterms:modified>
</cp:coreProperties>
</file>